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E2" w:rsidRDefault="009A25E2" w:rsidP="009A25E2">
      <w:pPr>
        <w:pStyle w:val="Cmsor2"/>
      </w:pPr>
      <w:bookmarkStart w:id="0" w:name="_Toc508223924"/>
      <w:r>
        <w:t>Felvételi szabályzat</w:t>
      </w:r>
      <w:bookmarkEnd w:id="0"/>
    </w:p>
    <w:p w:rsidR="009A25E2" w:rsidRDefault="009A25E2" w:rsidP="009A25E2">
      <w:pPr>
        <w:pStyle w:val="Cmsor2"/>
      </w:pPr>
      <w:bookmarkStart w:id="1" w:name="_Toc239222891"/>
      <w:bookmarkStart w:id="2" w:name="_Toc508223925"/>
      <w:bookmarkStart w:id="3" w:name="_Toc133803923"/>
      <w:r>
        <w:t>A Felvételi szabályzat célja</w:t>
      </w:r>
      <w:bookmarkEnd w:id="1"/>
      <w:bookmarkEnd w:id="2"/>
    </w:p>
    <w:bookmarkEnd w:id="3"/>
    <w:p w:rsidR="009A25E2" w:rsidRDefault="009A25E2" w:rsidP="009A25E2">
      <w:pPr>
        <w:pStyle w:val="paragrafus1"/>
        <w:numPr>
          <w:ilvl w:val="0"/>
          <w:numId w:val="3"/>
        </w:numPr>
        <w:ind w:left="142" w:firstLine="0"/>
      </w:pPr>
    </w:p>
    <w:p w:rsidR="009A25E2" w:rsidRDefault="009A25E2" w:rsidP="009A25E2">
      <w:pPr>
        <w:pStyle w:val="paragrafus2"/>
      </w:pPr>
      <w:r w:rsidRPr="004074DB">
        <w:t xml:space="preserve">A </w:t>
      </w:r>
      <w:r>
        <w:t>Felvételi s</w:t>
      </w:r>
      <w:r w:rsidRPr="004074DB">
        <w:t xml:space="preserve">zabályzat (a továbbiakban: </w:t>
      </w:r>
      <w:r>
        <w:t>F</w:t>
      </w:r>
      <w:r w:rsidRPr="004074DB">
        <w:t xml:space="preserve">SZ) célja, hogy meghatározza a </w:t>
      </w:r>
      <w:r w:rsidRPr="00FC2D5C">
        <w:t>felsőfokú tanulmányok folytatására legalka</w:t>
      </w:r>
      <w:r>
        <w:t>lmasabb jelentkezők kiválasztásának rendjét</w:t>
      </w:r>
      <w:r w:rsidRPr="00FC2D5C">
        <w:t>.</w:t>
      </w:r>
    </w:p>
    <w:p w:rsidR="009A25E2" w:rsidRDefault="009A25E2" w:rsidP="009A25E2">
      <w:pPr>
        <w:pStyle w:val="Cmsor2"/>
      </w:pPr>
      <w:bookmarkStart w:id="4" w:name="_Toc133803927"/>
      <w:bookmarkStart w:id="5" w:name="_Toc154388333"/>
      <w:bookmarkStart w:id="6" w:name="_Toc239222892"/>
      <w:bookmarkStart w:id="7" w:name="_Toc508223926"/>
      <w:r>
        <w:t>Az FSZ hatálya</w:t>
      </w:r>
      <w:bookmarkEnd w:id="4"/>
      <w:bookmarkEnd w:id="5"/>
      <w:bookmarkEnd w:id="6"/>
      <w:bookmarkEnd w:id="7"/>
    </w:p>
    <w:p w:rsidR="009A25E2" w:rsidRDefault="009A25E2" w:rsidP="009A25E2">
      <w:pPr>
        <w:pStyle w:val="paragrafus1"/>
        <w:numPr>
          <w:ilvl w:val="0"/>
          <w:numId w:val="3"/>
        </w:numPr>
        <w:ind w:left="3544" w:hanging="3260"/>
      </w:pPr>
    </w:p>
    <w:p w:rsidR="009A25E2" w:rsidRDefault="009A25E2" w:rsidP="009A25E2">
      <w:pPr>
        <w:pStyle w:val="paragrafus2"/>
      </w:pPr>
      <w:bookmarkStart w:id="8" w:name="_Toc133803930"/>
      <w:r w:rsidRPr="00FC2D5C">
        <w:t>A</w:t>
      </w:r>
      <w:r>
        <w:t>z</w:t>
      </w:r>
      <w:r w:rsidRPr="00FC2D5C">
        <w:t xml:space="preserve"> </w:t>
      </w:r>
      <w:r>
        <w:t xml:space="preserve">FSZ </w:t>
      </w:r>
      <w:r w:rsidRPr="00FC2D5C">
        <w:t xml:space="preserve">a nemzeti felsőoktatásról szóló 2011. évi CCIV. tv. 39.§ (1) (2) bekezdésében foglaltak szerint osztatlan képzésre, mesterképzésre, alapképzésre, felsőoktatási szakképzésre valamint a szakirányú továbbképzésre jelentkező magyar és nem magyar állampolgárokra terjed ki. </w:t>
      </w:r>
    </w:p>
    <w:p w:rsidR="009A25E2" w:rsidRDefault="009A25E2" w:rsidP="009A25E2">
      <w:pPr>
        <w:pStyle w:val="paragrafus2"/>
      </w:pPr>
      <w:r w:rsidRPr="00FC2D5C">
        <w:t>A doktori képzésre történő jelentkezés</w:t>
      </w:r>
      <w:r>
        <w:t xml:space="preserve">re a Doktori Szabályzat </w:t>
      </w:r>
      <w:r w:rsidRPr="00FC2D5C">
        <w:t>vonatkozik.</w:t>
      </w:r>
    </w:p>
    <w:p w:rsidR="009A25E2" w:rsidRDefault="009A25E2" w:rsidP="009A25E2">
      <w:pPr>
        <w:pStyle w:val="Cmsor2"/>
      </w:pPr>
      <w:bookmarkStart w:id="9" w:name="_Toc154388334"/>
      <w:bookmarkStart w:id="10" w:name="_Toc239222893"/>
      <w:bookmarkStart w:id="11" w:name="_Toc508223927"/>
      <w:bookmarkEnd w:id="8"/>
      <w:r>
        <w:t xml:space="preserve">Kapcsolódó </w:t>
      </w:r>
      <w:proofErr w:type="gramStart"/>
      <w:r>
        <w:t>dokumentumok</w:t>
      </w:r>
      <w:bookmarkEnd w:id="9"/>
      <w:bookmarkEnd w:id="10"/>
      <w:bookmarkEnd w:id="11"/>
      <w:proofErr w:type="gramEnd"/>
    </w:p>
    <w:p w:rsidR="009A25E2" w:rsidRDefault="009A25E2" w:rsidP="009A25E2">
      <w:pPr>
        <w:pStyle w:val="paragrafus1"/>
        <w:numPr>
          <w:ilvl w:val="0"/>
          <w:numId w:val="3"/>
        </w:numPr>
        <w:ind w:left="2694" w:hanging="2268"/>
      </w:pPr>
    </w:p>
    <w:p w:rsidR="009A25E2" w:rsidRDefault="009A25E2" w:rsidP="009A25E2">
      <w:pPr>
        <w:pStyle w:val="paragrafus2"/>
      </w:pPr>
      <w:r>
        <w:t>Az FSZ-</w:t>
      </w:r>
      <w:proofErr w:type="spellStart"/>
      <w:r>
        <w:t>hez</w:t>
      </w:r>
      <w:proofErr w:type="spellEnd"/>
      <w:r>
        <w:t xml:space="preserve"> kapcsolódó </w:t>
      </w:r>
      <w:proofErr w:type="gramStart"/>
      <w:r>
        <w:t>dokumentumok</w:t>
      </w:r>
      <w:proofErr w:type="gramEnd"/>
      <w:r>
        <w:rPr>
          <w:rStyle w:val="Lbjegyzet-hivatkozs"/>
        </w:rPr>
        <w:footnoteReference w:id="1"/>
      </w:r>
      <w:r>
        <w:t>:</w:t>
      </w:r>
    </w:p>
    <w:p w:rsidR="009A25E2" w:rsidRPr="004074DB" w:rsidRDefault="009A25E2" w:rsidP="009A25E2">
      <w:pPr>
        <w:pStyle w:val="Gondolatjeles"/>
      </w:pPr>
      <w:r w:rsidRPr="004074DB">
        <w:t xml:space="preserve">a nemzeti felsőoktatásról szóló 2011. évi CCIV. törvény (a továbbiakban: </w:t>
      </w:r>
      <w:proofErr w:type="spellStart"/>
      <w:r w:rsidRPr="004074DB">
        <w:t>Nftv</w:t>
      </w:r>
      <w:proofErr w:type="spellEnd"/>
      <w:r w:rsidRPr="004074DB">
        <w:t>.),</w:t>
      </w:r>
    </w:p>
    <w:p w:rsidR="009A25E2" w:rsidRPr="004074DB" w:rsidRDefault="009A25E2" w:rsidP="009A25E2">
      <w:pPr>
        <w:pStyle w:val="Gondolatjeles"/>
      </w:pPr>
      <w:r w:rsidRPr="004074DB">
        <w:t>a nemzeti felsőoktatásról szóló 2011. évi CCIV. törvény egyes rendelkezéseinek végrehajtásáról szóló 87/2015. (IV. 9.) Korm. rendelet (a továbbiakban: Vhr.),</w:t>
      </w:r>
    </w:p>
    <w:p w:rsidR="009A25E2" w:rsidRPr="000D62BB" w:rsidRDefault="009A25E2" w:rsidP="009A25E2">
      <w:pPr>
        <w:pStyle w:val="Gondolatjeles"/>
      </w:pPr>
      <w:r w:rsidRPr="000D62BB">
        <w:t>a felsőoktatási felvételi eljárásról szóló 423/2012. (XII. 29.) Korm. rendelet</w:t>
      </w:r>
      <w:r>
        <w:t xml:space="preserve"> (a továbbiakban: Rendelet),</w:t>
      </w:r>
    </w:p>
    <w:p w:rsidR="009A25E2" w:rsidRPr="00D16447" w:rsidRDefault="009A25E2" w:rsidP="009A25E2">
      <w:pPr>
        <w:pStyle w:val="Gondolatjeles"/>
        <w:rPr>
          <w:kern w:val="36"/>
        </w:rPr>
      </w:pPr>
      <w:r w:rsidRPr="00D16447">
        <w:rPr>
          <w:kern w:val="36"/>
        </w:rPr>
        <w:t>a felsőoktatási szakképzések, az alap- és mesterképzések képzési és kimeneti követelményeiről szóló 18/2016. (VIII. 5.) EMMI rendelet.</w:t>
      </w:r>
      <w:r w:rsidRPr="00D16447">
        <w:rPr>
          <w:rStyle w:val="Lbjegyzet-hivatkozs"/>
          <w:kern w:val="36"/>
        </w:rPr>
        <w:footnoteReference w:id="2"/>
      </w:r>
      <w:r w:rsidRPr="00D16447">
        <w:rPr>
          <w:kern w:val="36"/>
        </w:rPr>
        <w:t xml:space="preserve"> </w:t>
      </w:r>
    </w:p>
    <w:p w:rsidR="009A25E2" w:rsidRPr="00C30164" w:rsidRDefault="009A25E2" w:rsidP="009A25E2">
      <w:pPr>
        <w:pStyle w:val="Gondolatjeles"/>
      </w:pPr>
      <w:r w:rsidRPr="00C30164">
        <w:t>a tanári felkészítés közös követelményeiről és az egyes tanárszakok képzési és kimeneti követelményeiről szóló 8/2013. (I. 30.) EMMI rendelet</w:t>
      </w:r>
    </w:p>
    <w:p w:rsidR="009A25E2" w:rsidRPr="000D62BB" w:rsidRDefault="009A25E2" w:rsidP="009A25E2">
      <w:pPr>
        <w:pStyle w:val="Gondolatjeles"/>
        <w:numPr>
          <w:ilvl w:val="0"/>
          <w:numId w:val="0"/>
        </w:numPr>
        <w:ind w:left="709" w:hanging="284"/>
      </w:pPr>
    </w:p>
    <w:p w:rsidR="009A25E2" w:rsidRDefault="009A25E2" w:rsidP="009A25E2">
      <w:pPr>
        <w:pStyle w:val="Cmsor2"/>
      </w:pPr>
      <w:bookmarkStart w:id="12" w:name="_Toc508223928"/>
      <w:r>
        <w:t>A felvételi eljárás részei, lebonyolítása</w:t>
      </w:r>
      <w:bookmarkEnd w:id="12"/>
    </w:p>
    <w:p w:rsidR="009A25E2" w:rsidRPr="008311DB" w:rsidRDefault="009A25E2" w:rsidP="009A25E2">
      <w:pPr>
        <w:pStyle w:val="paragrafus1"/>
        <w:numPr>
          <w:ilvl w:val="0"/>
          <w:numId w:val="3"/>
        </w:numPr>
        <w:ind w:hanging="7513"/>
      </w:pPr>
    </w:p>
    <w:p w:rsidR="009A25E2" w:rsidRPr="00FC2D5C" w:rsidRDefault="009A25E2" w:rsidP="009A25E2">
      <w:pPr>
        <w:pStyle w:val="paragrafus2"/>
      </w:pPr>
      <w:r>
        <w:t xml:space="preserve">A </w:t>
      </w:r>
      <w:r w:rsidRPr="00FC2D5C">
        <w:t>felvételi eljárás során a</w:t>
      </w:r>
      <w:r>
        <w:t>z</w:t>
      </w:r>
      <w:r w:rsidRPr="00FC2D5C">
        <w:t xml:space="preserve"> </w:t>
      </w:r>
      <w:r>
        <w:t>egyetem</w:t>
      </w:r>
      <w:r w:rsidRPr="00FC2D5C">
        <w:t xml:space="preserve"> feladata:</w:t>
      </w:r>
    </w:p>
    <w:p w:rsidR="009A25E2" w:rsidRPr="00CD42E5" w:rsidRDefault="009A25E2" w:rsidP="009A25E2">
      <w:pPr>
        <w:pStyle w:val="paragrafus3"/>
      </w:pPr>
      <w:bookmarkStart w:id="13" w:name="_Ref453254058"/>
      <w:r w:rsidRPr="00CD42E5">
        <w:t>a továbbtanulni szándékozók tájékoztatása,</w:t>
      </w:r>
      <w:bookmarkEnd w:id="13"/>
    </w:p>
    <w:p w:rsidR="009A25E2" w:rsidRPr="00CD42E5" w:rsidRDefault="009A25E2" w:rsidP="009A25E2">
      <w:pPr>
        <w:pStyle w:val="paragrafus3"/>
      </w:pPr>
      <w:bookmarkStart w:id="14" w:name="_Ref453254092"/>
      <w:r w:rsidRPr="00CD42E5">
        <w:t>adatszolgáltatás az Oktatási Hivatal számára,</w:t>
      </w:r>
      <w:bookmarkEnd w:id="14"/>
    </w:p>
    <w:p w:rsidR="009A25E2" w:rsidRPr="00CD42E5" w:rsidRDefault="009A25E2" w:rsidP="009A25E2">
      <w:pPr>
        <w:pStyle w:val="paragrafus3"/>
      </w:pPr>
      <w:bookmarkStart w:id="15" w:name="_Ref453254133"/>
      <w:r w:rsidRPr="00CD42E5">
        <w:t>felvételi vizsgák szervezése és lebonyolítása,</w:t>
      </w:r>
      <w:bookmarkEnd w:id="15"/>
    </w:p>
    <w:p w:rsidR="009A25E2" w:rsidRPr="00CD42E5" w:rsidRDefault="009A25E2" w:rsidP="009A25E2">
      <w:pPr>
        <w:pStyle w:val="paragrafus3"/>
      </w:pPr>
      <w:r w:rsidRPr="00CD42E5">
        <w:t>a külföldi bizonyítványok továbbtanulás céljából történő elbírálása,</w:t>
      </w:r>
    </w:p>
    <w:p w:rsidR="009A25E2" w:rsidRPr="00CD42E5" w:rsidRDefault="009A25E2" w:rsidP="009A25E2">
      <w:pPr>
        <w:pStyle w:val="paragrafus3"/>
      </w:pPr>
      <w:bookmarkStart w:id="16" w:name="_Ref453254157"/>
      <w:r w:rsidRPr="00CD42E5">
        <w:t>a mesterképzésbe való belépés előfeltételeinek vizsgálata,</w:t>
      </w:r>
      <w:bookmarkEnd w:id="16"/>
    </w:p>
    <w:p w:rsidR="009A25E2" w:rsidRPr="00CD42E5" w:rsidRDefault="009A25E2" w:rsidP="009A25E2">
      <w:pPr>
        <w:pStyle w:val="paragrafus3"/>
      </w:pPr>
      <w:bookmarkStart w:id="17" w:name="_Ref453254104"/>
      <w:r w:rsidRPr="00CD42E5">
        <w:t xml:space="preserve">felvételi </w:t>
      </w:r>
      <w:proofErr w:type="gramStart"/>
      <w:r w:rsidRPr="00CD42E5">
        <w:t>adminisztráció</w:t>
      </w:r>
      <w:proofErr w:type="gramEnd"/>
      <w:r w:rsidRPr="00CD42E5">
        <w:t>,</w:t>
      </w:r>
      <w:bookmarkEnd w:id="17"/>
    </w:p>
    <w:p w:rsidR="009A25E2" w:rsidRPr="00CD42E5" w:rsidRDefault="009A25E2" w:rsidP="009A25E2">
      <w:pPr>
        <w:pStyle w:val="paragrafus3"/>
      </w:pPr>
      <w:r w:rsidRPr="00CD42E5">
        <w:t>a felvételi döntések meghozatala, értesítés,</w:t>
      </w:r>
    </w:p>
    <w:p w:rsidR="009A25E2" w:rsidRPr="00CD42E5" w:rsidRDefault="009A25E2" w:rsidP="009A25E2">
      <w:pPr>
        <w:pStyle w:val="paragrafus3"/>
      </w:pPr>
      <w:r>
        <w:lastRenderedPageBreak/>
        <w:t xml:space="preserve">a </w:t>
      </w:r>
      <w:r w:rsidRPr="00CD42E5">
        <w:t>fellebbezések elbírálása.</w:t>
      </w:r>
    </w:p>
    <w:p w:rsidR="009A25E2" w:rsidRPr="004074DB" w:rsidRDefault="009A25E2" w:rsidP="009A25E2">
      <w:pPr>
        <w:pStyle w:val="paragrafus2"/>
      </w:pPr>
      <w:r>
        <w:rPr>
          <w:rStyle w:val="Lbjegyzet-hivatkozs"/>
        </w:rPr>
        <w:footnoteReference w:id="3"/>
      </w:r>
      <w:r>
        <w:rPr>
          <w:rStyle w:val="Lbjegyzet-hivatkozs"/>
        </w:rPr>
        <w:footnoteReference w:id="4"/>
      </w:r>
      <w:r w:rsidRPr="00380E35">
        <w:t>A felvételizők</w:t>
      </w:r>
      <w:r>
        <w:t xml:space="preserve"> </w:t>
      </w:r>
      <w:r>
        <w:fldChar w:fldCharType="begin"/>
      </w:r>
      <w:r>
        <w:instrText xml:space="preserve"> REF _Ref453254058 \r \h </w:instrText>
      </w:r>
      <w:r>
        <w:fldChar w:fldCharType="separate"/>
      </w:r>
      <w:r>
        <w:t>(1</w:t>
      </w:r>
      <w:proofErr w:type="gramStart"/>
      <w:r>
        <w:t>)a</w:t>
      </w:r>
      <w:proofErr w:type="gramEnd"/>
      <w:r>
        <w:t>)</w:t>
      </w:r>
      <w:r>
        <w:fldChar w:fldCharType="end"/>
      </w:r>
      <w:r>
        <w:t xml:space="preserve">, c), e) és f) pontokban meghatározott feladatokat </w:t>
      </w:r>
      <w:r w:rsidRPr="00BE3988">
        <w:t xml:space="preserve">az Egri Campuson az Oktatási Igazgatóság </w:t>
      </w:r>
      <w:r w:rsidRPr="00380E35">
        <w:t>Felvételi és Képzésszervezési Osztály</w:t>
      </w:r>
      <w:r>
        <w:t>a</w:t>
      </w:r>
      <w:r w:rsidRPr="00380E35">
        <w:rPr>
          <w:color w:val="FF0000"/>
        </w:rPr>
        <w:t xml:space="preserve"> </w:t>
      </w:r>
      <w:r w:rsidRPr="00380E35">
        <w:t xml:space="preserve">(a </w:t>
      </w:r>
      <w:r w:rsidRPr="004074DB">
        <w:t>továbbiakban:</w:t>
      </w:r>
      <w:r>
        <w:t xml:space="preserve"> </w:t>
      </w:r>
      <w:r w:rsidRPr="004074DB">
        <w:t>FKO</w:t>
      </w:r>
      <w:r>
        <w:t xml:space="preserve">) </w:t>
      </w:r>
      <w:r w:rsidRPr="00BE3988">
        <w:t>a Gyöngyösi</w:t>
      </w:r>
      <w:r>
        <w:t xml:space="preserve"> Károly Róbert</w:t>
      </w:r>
      <w:r w:rsidRPr="00BE3988">
        <w:t xml:space="preserve"> Campuson </w:t>
      </w:r>
      <w:r>
        <w:t xml:space="preserve">az oktatási iroda,  a Jászberényi és a Sárospataki Comenius Campuson az oktatási csoportok  </w:t>
      </w:r>
      <w:r w:rsidRPr="00380E35">
        <w:t>együttműködve végzik.</w:t>
      </w:r>
    </w:p>
    <w:p w:rsidR="009A25E2" w:rsidRDefault="009A25E2" w:rsidP="009A25E2">
      <w:pPr>
        <w:pStyle w:val="paragrafus2"/>
      </w:pPr>
      <w:r>
        <w:rPr>
          <w:rStyle w:val="Lbjegyzet-hivatkozs"/>
        </w:rPr>
        <w:footnoteReference w:id="5"/>
      </w:r>
      <w:r>
        <w:rPr>
          <w:rStyle w:val="Lbjegyzet-hivatkozs"/>
        </w:rPr>
        <w:footnoteReference w:id="6"/>
      </w:r>
      <w:r w:rsidRPr="005E78E7">
        <w:t xml:space="preserve">Az </w:t>
      </w:r>
      <w:r>
        <w:fldChar w:fldCharType="begin"/>
      </w:r>
      <w:r>
        <w:instrText xml:space="preserve"> REF _Ref453254092 \r \h </w:instrText>
      </w:r>
      <w:r>
        <w:fldChar w:fldCharType="separate"/>
      </w:r>
      <w:r>
        <w:t>(1</w:t>
      </w:r>
      <w:proofErr w:type="gramStart"/>
      <w:r>
        <w:t>)b</w:t>
      </w:r>
      <w:proofErr w:type="gramEnd"/>
      <w:r>
        <w:t>)</w:t>
      </w:r>
      <w:r>
        <w:fldChar w:fldCharType="end"/>
      </w:r>
      <w:r w:rsidRPr="005E78E7">
        <w:t>-</w:t>
      </w:r>
      <w:r>
        <w:t xml:space="preserve"> e) pontokban</w:t>
      </w:r>
      <w:r w:rsidRPr="005E78E7">
        <w:t xml:space="preserve"> meghatározott </w:t>
      </w:r>
      <w:r>
        <w:t xml:space="preserve">feladatokat az FKO, illetve a campusok oktatási irodái/csoportjai az Rendeletben </w:t>
      </w:r>
      <w:r w:rsidRPr="005E78E7">
        <w:t xml:space="preserve">előírtak szerint, </w:t>
      </w:r>
      <w:r w:rsidRPr="00A40384">
        <w:t>a</w:t>
      </w:r>
      <w:r>
        <w:t>z</w:t>
      </w:r>
      <w:r w:rsidRPr="00A40384">
        <w:t xml:space="preserve"> </w:t>
      </w:r>
      <w:r>
        <w:fldChar w:fldCharType="begin"/>
      </w:r>
      <w:r>
        <w:instrText xml:space="preserve"> REF _Ref453254133 \r \h </w:instrText>
      </w:r>
      <w:r>
        <w:fldChar w:fldCharType="separate"/>
      </w:r>
      <w:r>
        <w:t>(1)c)</w:t>
      </w:r>
      <w:r>
        <w:fldChar w:fldCharType="end"/>
      </w:r>
      <w:r w:rsidRPr="00A40384">
        <w:t xml:space="preserve"> pont esetén a kari tanácsok,</w:t>
      </w:r>
      <w:r w:rsidRPr="005E78E7">
        <w:t xml:space="preserve"> az </w:t>
      </w:r>
      <w:r>
        <w:fldChar w:fldCharType="begin"/>
      </w:r>
      <w:r>
        <w:instrText xml:space="preserve"> REF _Ref453254157 \r \h </w:instrText>
      </w:r>
      <w:r>
        <w:fldChar w:fldCharType="separate"/>
      </w:r>
      <w:r>
        <w:t>(1)e)</w:t>
      </w:r>
      <w:r>
        <w:fldChar w:fldCharType="end"/>
      </w:r>
      <w:r w:rsidRPr="005E78E7">
        <w:t xml:space="preserve"> pont esetén a </w:t>
      </w:r>
      <w:r>
        <w:t>k</w:t>
      </w:r>
      <w:r w:rsidRPr="005E78E7">
        <w:t xml:space="preserve">reditátviteli </w:t>
      </w:r>
      <w:r>
        <w:t>b</w:t>
      </w:r>
      <w:r w:rsidRPr="005E78E7">
        <w:t>izottság</w:t>
      </w:r>
      <w:r>
        <w:t>ok</w:t>
      </w:r>
      <w:r w:rsidRPr="005E78E7">
        <w:t xml:space="preserve"> döntéseit is figyelembe véve végzi. </w:t>
      </w:r>
      <w:r w:rsidRPr="004959C2">
        <w:t xml:space="preserve">A pedagógusképzésre és a tanári szakokra jelentkezők felvételi vizsgáinak szervezése és lebonyolítása a </w:t>
      </w:r>
      <w:r>
        <w:t>Pedagógusképző</w:t>
      </w:r>
      <w:r w:rsidRPr="004959C2">
        <w:t xml:space="preserve"> Központ feladata. </w:t>
      </w:r>
    </w:p>
    <w:p w:rsidR="009A25E2" w:rsidRDefault="009A25E2" w:rsidP="009A25E2">
      <w:pPr>
        <w:pStyle w:val="paragrafus2"/>
      </w:pPr>
      <w:r w:rsidRPr="005E78E7">
        <w:t>A</w:t>
      </w:r>
      <w:r>
        <w:t>z</w:t>
      </w:r>
      <w:r w:rsidRPr="005E78E7">
        <w:t xml:space="preserve"> </w:t>
      </w:r>
      <w:r>
        <w:t>FKO</w:t>
      </w:r>
      <w:r w:rsidRPr="005E78E7">
        <w:t xml:space="preserve"> adatokat szolgáltat a felvételi döntéshez, a fellebbezések elbíráláshoz, </w:t>
      </w:r>
      <w:r>
        <w:t xml:space="preserve">a felvételi döntésről </w:t>
      </w:r>
      <w:r w:rsidRPr="005E78E7">
        <w:t xml:space="preserve">értesítést </w:t>
      </w:r>
      <w:r>
        <w:t xml:space="preserve">küld az egyetemre </w:t>
      </w:r>
      <w:proofErr w:type="spellStart"/>
      <w:r>
        <w:t>felvetteknek</w:t>
      </w:r>
      <w:proofErr w:type="spellEnd"/>
      <w:r>
        <w:t>.</w:t>
      </w:r>
    </w:p>
    <w:p w:rsidR="009A25E2" w:rsidRPr="008827CB" w:rsidRDefault="009A25E2" w:rsidP="009A25E2">
      <w:pPr>
        <w:pStyle w:val="paragrafus2"/>
      </w:pPr>
      <w:r w:rsidRPr="005E78E7">
        <w:t xml:space="preserve">A felvételi eljárás </w:t>
      </w:r>
      <w:proofErr w:type="gramStart"/>
      <w:r w:rsidRPr="005E78E7">
        <w:t>során</w:t>
      </w:r>
      <w:proofErr w:type="gramEnd"/>
      <w:r w:rsidRPr="005E78E7">
        <w:t xml:space="preserve"> a</w:t>
      </w:r>
      <w:r>
        <w:t>z egyetemen</w:t>
      </w:r>
      <w:r w:rsidRPr="005E78E7">
        <w:t xml:space="preserve"> intézményi felvételi bizottság működik.</w:t>
      </w:r>
      <w:r>
        <w:t xml:space="preserve"> </w:t>
      </w:r>
      <w:r w:rsidRPr="00380E35">
        <w:t xml:space="preserve">A bizottság </w:t>
      </w:r>
      <w:r>
        <w:t xml:space="preserve">elnöke </w:t>
      </w:r>
      <w:r w:rsidRPr="008827CB">
        <w:t>a</w:t>
      </w:r>
      <w:r>
        <w:t xml:space="preserve"> rektor, tagjai </w:t>
      </w:r>
      <w:r w:rsidRPr="006F76C2">
        <w:t xml:space="preserve">az </w:t>
      </w:r>
      <w:r>
        <w:t xml:space="preserve">oktatási igazgató, </w:t>
      </w:r>
      <w:r w:rsidRPr="008827CB">
        <w:t>a karok oktatásért felelős dékánhelyettesei,</w:t>
      </w:r>
      <w:r>
        <w:t xml:space="preserve"> a campusok oktatási és kutatási főigazgatói, a Pedagógusképző</w:t>
      </w:r>
      <w:r w:rsidRPr="00941F54">
        <w:t xml:space="preserve"> Központ főigazgatója,</w:t>
      </w:r>
      <w:r>
        <w:t xml:space="preserve"> valamint a Hallgatói Önkormányzat által </w:t>
      </w:r>
      <w:proofErr w:type="gramStart"/>
      <w:r>
        <w:t>delegált</w:t>
      </w:r>
      <w:proofErr w:type="gramEnd"/>
      <w:r>
        <w:t xml:space="preserve"> egy</w:t>
      </w:r>
      <w:r w:rsidRPr="008827CB">
        <w:t xml:space="preserve"> </w:t>
      </w:r>
      <w:r>
        <w:t>hallgatói</w:t>
      </w:r>
      <w:r w:rsidRPr="008827CB">
        <w:t xml:space="preserve"> képviselő.</w:t>
      </w:r>
    </w:p>
    <w:p w:rsidR="009A25E2" w:rsidRPr="005E78E7" w:rsidRDefault="009A25E2" w:rsidP="009A25E2">
      <w:pPr>
        <w:pStyle w:val="paragrafus2"/>
      </w:pPr>
      <w:r w:rsidRPr="005E78E7">
        <w:t>A felvételi bizottság feladata a felsőoktatási szakképzésre, az alapképzésre, a mesterképzésre, az osztatlan tanárképzésre és a szakirányú továbbképzésre való felvételekhez a felvételi ponthatárok megállapításának előkészítése, döntés a felvételekről.</w:t>
      </w:r>
    </w:p>
    <w:p w:rsidR="009A25E2" w:rsidRPr="005E78E7" w:rsidRDefault="009A25E2" w:rsidP="009A25E2">
      <w:pPr>
        <w:pStyle w:val="paragrafus2"/>
      </w:pPr>
      <w:r>
        <w:t xml:space="preserve">A felvételi vizsga lebonyolítására az illetékes kari tanács bizottságot hoz létre. </w:t>
      </w:r>
      <w:r w:rsidRPr="005E78E7">
        <w:t xml:space="preserve">A felvételi vizsgát lebonyolító bizottság legalább </w:t>
      </w:r>
      <w:proofErr w:type="gramStart"/>
      <w:r w:rsidRPr="005E78E7">
        <w:t>három</w:t>
      </w:r>
      <w:r>
        <w:t xml:space="preserve"> </w:t>
      </w:r>
      <w:r w:rsidRPr="005E78E7">
        <w:t>tagú</w:t>
      </w:r>
      <w:proofErr w:type="gramEnd"/>
      <w:r w:rsidRPr="005E78E7">
        <w:t>. Elnöke a</w:t>
      </w:r>
      <w:r>
        <w:t>z illetékes</w:t>
      </w:r>
      <w:r w:rsidRPr="005E78E7">
        <w:t xml:space="preserve"> kari tanács által megválasztott, legalább </w:t>
      </w:r>
      <w:r w:rsidRPr="00380E35">
        <w:t>főiskolai</w:t>
      </w:r>
      <w:r w:rsidRPr="005E78E7">
        <w:t xml:space="preserve"> docens munkakörben, teljes munkaidőben foglalkoztatott oktató. A bizottság tagja a </w:t>
      </w:r>
      <w:smartTag w:uri="urn:schemas-microsoft-com:office:smarttags" w:element="PersonName">
        <w:r>
          <w:t>H</w:t>
        </w:r>
        <w:r w:rsidRPr="005E78E7">
          <w:t xml:space="preserve">allgatói </w:t>
        </w:r>
        <w:r>
          <w:t>Ö</w:t>
        </w:r>
        <w:r w:rsidRPr="005E78E7">
          <w:t>nkormányzat</w:t>
        </w:r>
      </w:smartTag>
      <w:r w:rsidRPr="005E78E7">
        <w:t xml:space="preserve"> </w:t>
      </w:r>
      <w:r>
        <w:t xml:space="preserve">által </w:t>
      </w:r>
      <w:proofErr w:type="gramStart"/>
      <w:r>
        <w:t>delegált</w:t>
      </w:r>
      <w:proofErr w:type="gramEnd"/>
      <w:r>
        <w:t xml:space="preserve"> egy hallgatói képviselő.</w:t>
      </w:r>
    </w:p>
    <w:p w:rsidR="009A25E2" w:rsidRPr="005E78E7" w:rsidRDefault="009A25E2" w:rsidP="009A25E2">
      <w:pPr>
        <w:pStyle w:val="paragrafus2"/>
      </w:pPr>
      <w:r w:rsidRPr="005E78E7">
        <w:t xml:space="preserve">A felvételizők vizsgáztatásában nem vehet részt az a személy, aki a vizsgázóval hozzátartozói, </w:t>
      </w:r>
      <w:proofErr w:type="spellStart"/>
      <w:r w:rsidRPr="005E78E7">
        <w:t>függelmi</w:t>
      </w:r>
      <w:proofErr w:type="spellEnd"/>
      <w:r w:rsidRPr="005E78E7">
        <w:t xml:space="preserve"> viszonyban van, vagy akitől a vizsga tárgyilagos elbírálása egyéb okból nem várható el.</w:t>
      </w:r>
    </w:p>
    <w:p w:rsidR="009A25E2" w:rsidRDefault="009A25E2" w:rsidP="009A25E2">
      <w:pPr>
        <w:pStyle w:val="paragrafus2"/>
      </w:pPr>
      <w:r w:rsidRPr="00E4654F">
        <w:t xml:space="preserve">A pedagógusképzésre és a tanárképzésre jelentkezők meghallgatását és kiválasztását a </w:t>
      </w:r>
      <w:r>
        <w:t>Pedagógusképző</w:t>
      </w:r>
      <w:r w:rsidRPr="00E4654F">
        <w:t xml:space="preserve"> Központ </w:t>
      </w:r>
      <w:proofErr w:type="gramStart"/>
      <w:r w:rsidRPr="00E4654F">
        <w:t>koordinálja</w:t>
      </w:r>
      <w:proofErr w:type="gramEnd"/>
      <w:r w:rsidRPr="005E78E7">
        <w:t>.</w:t>
      </w:r>
    </w:p>
    <w:p w:rsidR="009A25E2" w:rsidRPr="00FF3495" w:rsidRDefault="009A25E2" w:rsidP="009A25E2">
      <w:pPr>
        <w:pStyle w:val="paragrafus2"/>
      </w:pPr>
      <w:r>
        <w:t xml:space="preserve">A felvételi határozatot a rektor </w:t>
      </w:r>
      <w:proofErr w:type="spellStart"/>
      <w:r>
        <w:t>kiadmányozza</w:t>
      </w:r>
      <w:proofErr w:type="spellEnd"/>
      <w:r>
        <w:t>. A kiadmányt az oktatási igazgató hitelesítheti.</w:t>
      </w:r>
    </w:p>
    <w:p w:rsidR="009A25E2" w:rsidRDefault="009A25E2" w:rsidP="009A25E2">
      <w:pPr>
        <w:pStyle w:val="Cmsor2"/>
      </w:pPr>
      <w:bookmarkStart w:id="18" w:name="_Toc508223929"/>
      <w:r>
        <w:lastRenderedPageBreak/>
        <w:t>F</w:t>
      </w:r>
      <w:r w:rsidRPr="008311DB">
        <w:t>elsőoktatási szakképzés</w:t>
      </w:r>
      <w:r>
        <w:t xml:space="preserve">, </w:t>
      </w:r>
      <w:r w:rsidRPr="008311DB">
        <w:t>alapképzés</w:t>
      </w:r>
      <w:r>
        <w:t xml:space="preserve"> </w:t>
      </w:r>
      <w:r w:rsidRPr="008311DB">
        <w:t>és osztatlan képzés</w:t>
      </w:r>
      <w:bookmarkEnd w:id="18"/>
    </w:p>
    <w:p w:rsidR="009A25E2" w:rsidRDefault="009A25E2" w:rsidP="009A25E2">
      <w:pPr>
        <w:pStyle w:val="Cmsor2"/>
      </w:pPr>
      <w:bookmarkStart w:id="19" w:name="_Toc508223930"/>
      <w:r>
        <w:t>Pontszámítás</w:t>
      </w:r>
      <w:bookmarkEnd w:id="19"/>
    </w:p>
    <w:p w:rsidR="009A25E2" w:rsidRPr="008311DB" w:rsidRDefault="009A25E2" w:rsidP="009A25E2">
      <w:pPr>
        <w:pStyle w:val="paragrafus1"/>
        <w:numPr>
          <w:ilvl w:val="0"/>
          <w:numId w:val="3"/>
        </w:numPr>
        <w:ind w:left="0" w:firstLine="0"/>
      </w:pPr>
    </w:p>
    <w:p w:rsidR="009A25E2" w:rsidRPr="00FC2D5C" w:rsidRDefault="009A25E2" w:rsidP="009A25E2">
      <w:pPr>
        <w:pStyle w:val="paragrafus2"/>
      </w:pPr>
      <w:r>
        <w:rPr>
          <w:rStyle w:val="Lbjegyzet-hivatkozs"/>
        </w:rPr>
        <w:footnoteReference w:id="7"/>
      </w:r>
      <w:r w:rsidRPr="00FC2D5C">
        <w:t xml:space="preserve">A felsőoktatási szakképzésre, az alapképzésre és az osztatlan képzésre </w:t>
      </w:r>
      <w:r w:rsidRPr="00BD2A5A">
        <w:t>felsőfokú végzettséggel rendelkező jelentkezők esetén</w:t>
      </w:r>
      <w:r w:rsidRPr="00FC2D5C">
        <w:t xml:space="preserve"> a Rendelet 14.-23. §-</w:t>
      </w:r>
      <w:proofErr w:type="spellStart"/>
      <w:r w:rsidRPr="00FC2D5C">
        <w:t>ában</w:t>
      </w:r>
      <w:proofErr w:type="spellEnd"/>
      <w:r w:rsidRPr="00FC2D5C">
        <w:t xml:space="preserve"> foglaltakat az </w:t>
      </w:r>
      <w:r>
        <w:t>5-6.</w:t>
      </w:r>
      <w:r w:rsidRPr="00FC2D5C">
        <w:t>§ szerinti eltérésekkel kell alkalmazni.</w:t>
      </w:r>
    </w:p>
    <w:p w:rsidR="009A25E2" w:rsidRPr="008311DB" w:rsidRDefault="009A25E2" w:rsidP="009A25E2">
      <w:pPr>
        <w:pStyle w:val="paragrafus2"/>
      </w:pPr>
      <w:bookmarkStart w:id="20" w:name="_Ref453254249"/>
      <w:r>
        <w:rPr>
          <w:rStyle w:val="Lbjegyzet-hivatkozs"/>
        </w:rPr>
        <w:footnoteReference w:id="8"/>
      </w:r>
      <w:r w:rsidRPr="00FC2D5C">
        <w:t>A felsőfokú végzettséggel rendelkező jelentkezőket a</w:t>
      </w:r>
      <w:r>
        <w:t>z</w:t>
      </w:r>
      <w:r w:rsidRPr="00FC2D5C">
        <w:t xml:space="preserve"> </w:t>
      </w:r>
      <w:r>
        <w:t>egyetem</w:t>
      </w:r>
      <w:r w:rsidRPr="00FC2D5C">
        <w:t xml:space="preserve"> </w:t>
      </w:r>
      <w:r w:rsidRPr="00BD2A5A">
        <w:t xml:space="preserve">– amennyiben a felvételi követelmény középszintű vagy emeltszintű érettségi – </w:t>
      </w:r>
      <w:r w:rsidRPr="00FC2D5C">
        <w:t xml:space="preserve">a korábbi felsőoktatási oklevél minősítése figyelembevételével és az emelt szintű érettségi követelménytől való </w:t>
      </w:r>
      <w:r w:rsidRPr="00205032">
        <w:t>eltekintéssel is rangsorolja. Ebben az esetben az alábbiak szerint maximum 400 pont adható a jelentkezőknek:</w:t>
      </w:r>
      <w:bookmarkEnd w:id="20"/>
    </w:p>
    <w:p w:rsidR="009A25E2" w:rsidRPr="007D3435" w:rsidRDefault="009A25E2" w:rsidP="009A25E2">
      <w:pPr>
        <w:pStyle w:val="Gondolatjeles"/>
        <w:tabs>
          <w:tab w:val="left" w:pos="2880"/>
        </w:tabs>
      </w:pPr>
      <w:r w:rsidRPr="007D3435">
        <w:t xml:space="preserve">jeles minősítés </w:t>
      </w:r>
      <w:r w:rsidRPr="007D3435">
        <w:tab/>
        <w:t>400 pont,</w:t>
      </w:r>
    </w:p>
    <w:p w:rsidR="009A25E2" w:rsidRPr="007D3435" w:rsidRDefault="009A25E2" w:rsidP="009A25E2">
      <w:pPr>
        <w:pStyle w:val="Gondolatjeles"/>
        <w:tabs>
          <w:tab w:val="left" w:pos="2880"/>
        </w:tabs>
      </w:pPr>
      <w:r w:rsidRPr="007D3435">
        <w:t xml:space="preserve">jó minősítés </w:t>
      </w:r>
      <w:r w:rsidRPr="007D3435">
        <w:tab/>
      </w:r>
      <w:r>
        <w:t>36</w:t>
      </w:r>
      <w:r w:rsidRPr="007D3435">
        <w:t>0 pont,</w:t>
      </w:r>
    </w:p>
    <w:p w:rsidR="009A25E2" w:rsidRPr="007D3435" w:rsidRDefault="009A25E2" w:rsidP="009A25E2">
      <w:pPr>
        <w:pStyle w:val="Gondolatjeles"/>
        <w:tabs>
          <w:tab w:val="left" w:pos="2880"/>
        </w:tabs>
      </w:pPr>
      <w:r w:rsidRPr="007D3435">
        <w:t xml:space="preserve">közepes minősítés </w:t>
      </w:r>
      <w:r w:rsidRPr="007D3435">
        <w:tab/>
      </w:r>
      <w:r>
        <w:t>32</w:t>
      </w:r>
      <w:r w:rsidRPr="007D3435">
        <w:t>0 pont,</w:t>
      </w:r>
    </w:p>
    <w:p w:rsidR="009A25E2" w:rsidRDefault="009A25E2" w:rsidP="009A25E2">
      <w:pPr>
        <w:pStyle w:val="Gondolatjeles"/>
        <w:tabs>
          <w:tab w:val="left" w:pos="2880"/>
        </w:tabs>
      </w:pPr>
      <w:r w:rsidRPr="007D3435">
        <w:t xml:space="preserve">elégséges minősítés </w:t>
      </w:r>
      <w:r w:rsidRPr="007D3435">
        <w:tab/>
      </w:r>
      <w:r>
        <w:t>280</w:t>
      </w:r>
      <w:r w:rsidRPr="007D3435">
        <w:t xml:space="preserve"> pont</w:t>
      </w:r>
      <w:r>
        <w:t>.</w:t>
      </w:r>
    </w:p>
    <w:p w:rsidR="009A25E2" w:rsidRPr="00BD2A5A" w:rsidRDefault="009A25E2" w:rsidP="009A25E2">
      <w:pPr>
        <w:pStyle w:val="paragrafus2"/>
      </w:pPr>
      <w:r>
        <w:rPr>
          <w:rStyle w:val="Lbjegyzet-hivatkozs"/>
        </w:rPr>
        <w:footnoteReference w:id="9"/>
      </w:r>
      <w:r>
        <w:t xml:space="preserve">Edző </w:t>
      </w:r>
      <w:r w:rsidRPr="00BD2A5A">
        <w:t>alapszakon</w:t>
      </w:r>
      <w:r w:rsidRPr="00205032">
        <w:t>, valamint az osztatlan testnevelő tanár szakon</w:t>
      </w:r>
      <w:r w:rsidRPr="00BD2A5A">
        <w:t xml:space="preserve"> amennyiben a rangsorolás a </w:t>
      </w:r>
      <w:r>
        <w:fldChar w:fldCharType="begin"/>
      </w:r>
      <w:r>
        <w:instrText xml:space="preserve"> REF _Ref453254249 \r \h </w:instrText>
      </w:r>
      <w:r>
        <w:fldChar w:fldCharType="separate"/>
      </w:r>
      <w:r>
        <w:t>(2)</w:t>
      </w:r>
      <w:r>
        <w:fldChar w:fldCharType="end"/>
      </w:r>
      <w:r w:rsidRPr="00BD2A5A">
        <w:t xml:space="preserve"> bekezdésben foglaltak szerint történik, a</w:t>
      </w:r>
      <w:r>
        <w:t>z</w:t>
      </w:r>
      <w:r w:rsidRPr="00BD2A5A">
        <w:t xml:space="preserve"> </w:t>
      </w:r>
      <w:r>
        <w:t>egyetem</w:t>
      </w:r>
      <w:r w:rsidRPr="00BD2A5A">
        <w:t xml:space="preserve"> motoros alkalmassági vizsga követelményt ír elő a jelentkezőnek.</w:t>
      </w:r>
    </w:p>
    <w:p w:rsidR="009A25E2" w:rsidRDefault="009A25E2" w:rsidP="009A25E2">
      <w:pPr>
        <w:pStyle w:val="paragrafus2"/>
      </w:pPr>
      <w:r w:rsidRPr="00BD2A5A">
        <w:t>Az osztatlan tanárképzés azon szakpárjai esetén, ahol a felvételi pontszámot a középiskolai érettségi eredményekből kell meghatározni, a felsőfokú végzettségű jelent</w:t>
      </w:r>
      <w:r>
        <w:t xml:space="preserve">kezők pontszámát az egyetem </w:t>
      </w:r>
      <w:r w:rsidRPr="0018210B">
        <w:t xml:space="preserve">a </w:t>
      </w:r>
      <w:r>
        <w:fldChar w:fldCharType="begin"/>
      </w:r>
      <w:r>
        <w:instrText xml:space="preserve"> REF _Ref453254249 \r \h </w:instrText>
      </w:r>
      <w:r>
        <w:fldChar w:fldCharType="separate"/>
      </w:r>
      <w:r>
        <w:t>(2)</w:t>
      </w:r>
      <w:r>
        <w:fldChar w:fldCharType="end"/>
      </w:r>
      <w:r w:rsidRPr="0018210B">
        <w:t xml:space="preserve"> bekezdés</w:t>
      </w:r>
      <w:r w:rsidRPr="00BD2A5A">
        <w:t xml:space="preserve"> szerint </w:t>
      </w:r>
      <w:r>
        <w:t>is megállapítja</w:t>
      </w:r>
      <w:r w:rsidRPr="00BD2A5A">
        <w:t>.</w:t>
      </w:r>
    </w:p>
    <w:p w:rsidR="009A25E2" w:rsidRPr="00EE55B1" w:rsidRDefault="009A25E2" w:rsidP="009A25E2">
      <w:pPr>
        <w:pStyle w:val="paragrafus2"/>
      </w:pPr>
      <w:r>
        <w:rPr>
          <w:rStyle w:val="Lbjegyzet-hivatkozs"/>
        </w:rPr>
        <w:footnoteReference w:id="10"/>
      </w:r>
      <w:r w:rsidRPr="00EE55B1">
        <w:t xml:space="preserve">Anglisztika és germanisztika alapszakon, valamint osztatlan angol nyelv és kultúra tanára és német nyelv és kultúra tanára szakon amennyiben a rangsorolás a </w:t>
      </w:r>
      <w:r>
        <w:fldChar w:fldCharType="begin"/>
      </w:r>
      <w:r>
        <w:instrText xml:space="preserve"> REF _Ref453254249 \r \h </w:instrText>
      </w:r>
      <w:r>
        <w:fldChar w:fldCharType="separate"/>
      </w:r>
      <w:r>
        <w:t>(2)</w:t>
      </w:r>
      <w:r>
        <w:fldChar w:fldCharType="end"/>
      </w:r>
      <w:r w:rsidRPr="00EE55B1">
        <w:t xml:space="preserve"> bekezdésben foglaltak szerint történik, a felvétel feltétele az adott idegen nyelvből tett államilag elismert középfokú (B2) </w:t>
      </w:r>
      <w:proofErr w:type="gramStart"/>
      <w:r w:rsidRPr="00EE55B1">
        <w:t>komplex</w:t>
      </w:r>
      <w:proofErr w:type="gramEnd"/>
      <w:r w:rsidRPr="00EE55B1">
        <w:t xml:space="preserve"> típusú nyelvvizsga vagy ezzel egyenértékű érettségi bizonyítvány vagy </w:t>
      </w:r>
      <w:r>
        <w:t xml:space="preserve">felsőfokú </w:t>
      </w:r>
      <w:r w:rsidRPr="00EE55B1">
        <w:t>oklevél.</w:t>
      </w:r>
    </w:p>
    <w:p w:rsidR="009A25E2" w:rsidRPr="00EE55B1" w:rsidRDefault="009A25E2" w:rsidP="009A25E2">
      <w:pPr>
        <w:pStyle w:val="paragrafus2"/>
      </w:pPr>
      <w:r w:rsidRPr="00EE55B1">
        <w:t>Felsőoktatási szakképzésre csak az a jelentkező vehető fel, akinek az érettségi többletpontokkal együtt, de a más jogcímen adható többletpontok nélkül számított pontszáma eléri, vagy meghaladja a 240 pontot.</w:t>
      </w:r>
    </w:p>
    <w:p w:rsidR="009A25E2" w:rsidRPr="00EE55B1" w:rsidRDefault="009A25E2" w:rsidP="009A25E2">
      <w:pPr>
        <w:pStyle w:val="paragrafus2"/>
      </w:pPr>
      <w:r w:rsidRPr="00EE55B1">
        <w:t>Alapképzésre, osztatlan képzésre csak az a jelentkező vehető fel, akinek az emelt szintű érettségiért, a nyelvvizsgáért és – szakirányú továbbtanulás esetén – az 1993 után szerzett, az Országos Képzési Jegyzékben szereplő 54-es vagy 55-ös szakmaszámú szakképesítésért adható többletpontokkal együtt, de más jogcímen adható többletpontok nélkül számított pontszáma eléri vagy meghaladja a 280 pontot.</w:t>
      </w:r>
    </w:p>
    <w:p w:rsidR="009A25E2" w:rsidRDefault="009A25E2" w:rsidP="009A25E2">
      <w:pPr>
        <w:pStyle w:val="Cmsor2"/>
      </w:pPr>
      <w:bookmarkStart w:id="21" w:name="_Toc508223931"/>
      <w:r w:rsidRPr="008311DB">
        <w:lastRenderedPageBreak/>
        <w:t>Felvételi vizsga</w:t>
      </w:r>
      <w:r>
        <w:rPr>
          <w:rStyle w:val="Lbjegyzet-hivatkozs"/>
        </w:rPr>
        <w:footnoteReference w:id="11"/>
      </w:r>
      <w:bookmarkEnd w:id="21"/>
    </w:p>
    <w:p w:rsidR="009A25E2" w:rsidRPr="008311DB" w:rsidRDefault="009A25E2" w:rsidP="009A25E2">
      <w:pPr>
        <w:pStyle w:val="paragrafus1"/>
        <w:numPr>
          <w:ilvl w:val="0"/>
          <w:numId w:val="3"/>
        </w:numPr>
        <w:ind w:hanging="7655"/>
      </w:pPr>
    </w:p>
    <w:p w:rsidR="009A25E2" w:rsidRPr="00FC2D5C" w:rsidRDefault="009A25E2" w:rsidP="009A25E2">
      <w:pPr>
        <w:pStyle w:val="paragrafus2"/>
      </w:pPr>
      <w:r w:rsidRPr="002C25CA">
        <w:rPr>
          <w:rStyle w:val="Lbjegyzet-hivatkozs"/>
        </w:rPr>
        <w:footnoteReference w:id="12"/>
      </w:r>
      <w:r w:rsidRPr="002C25CA">
        <w:t>Az osztatlanképzés és alapképzés felvételi eljárása során egészségügyi</w:t>
      </w:r>
      <w:r w:rsidRPr="00FC2D5C">
        <w:t xml:space="preserve"> követelményként </w:t>
      </w:r>
      <w:r>
        <w:t>az egyetem</w:t>
      </w:r>
      <w:r w:rsidRPr="00FC2D5C">
        <w:t xml:space="preserve"> a jelentkezők számára</w:t>
      </w:r>
      <w:r>
        <w:t>:</w:t>
      </w:r>
    </w:p>
    <w:p w:rsidR="009A25E2" w:rsidRPr="002C25CA" w:rsidRDefault="009A25E2" w:rsidP="009A25E2">
      <w:pPr>
        <w:pStyle w:val="paragrafus3"/>
      </w:pPr>
      <w:r w:rsidRPr="002C25CA">
        <w:t>zenekultúra szakon gégeszakorvosi vizsgálatot,</w:t>
      </w:r>
    </w:p>
    <w:p w:rsidR="009A25E2" w:rsidRPr="002C25CA" w:rsidRDefault="009A25E2" w:rsidP="009A25E2">
      <w:pPr>
        <w:pStyle w:val="paragrafus3"/>
      </w:pPr>
      <w:r w:rsidRPr="002C25CA">
        <w:rPr>
          <w:rStyle w:val="Lbjegyzet-hivatkozs"/>
        </w:rPr>
        <w:footnoteReference w:id="13"/>
      </w:r>
      <w:r w:rsidRPr="002C25CA">
        <w:t xml:space="preserve">edző szakon és azokon a szakokon, ahol motoros alkalmassági </w:t>
      </w:r>
      <w:r>
        <w:t>v</w:t>
      </w:r>
      <w:r w:rsidRPr="002C25CA">
        <w:t>izsgát tesz a jelentkező, háziorvosi vizsgálatot,</w:t>
      </w:r>
    </w:p>
    <w:p w:rsidR="009A25E2" w:rsidRDefault="009A25E2" w:rsidP="009A25E2">
      <w:pPr>
        <w:pStyle w:val="paragrafus3"/>
      </w:pPr>
      <w:r w:rsidRPr="00F610A3">
        <w:t xml:space="preserve">a </w:t>
      </w:r>
      <w:r w:rsidRPr="0073610D">
        <w:t>pedagógusképzés képzési területen</w:t>
      </w:r>
      <w:r>
        <w:t xml:space="preserve"> </w:t>
      </w:r>
      <w:r w:rsidRPr="00FC2D5C">
        <w:t>egészségügyi alkalmassági vizsgálatot</w:t>
      </w:r>
    </w:p>
    <w:p w:rsidR="009A25E2" w:rsidRDefault="009A25E2" w:rsidP="009A25E2">
      <w:pPr>
        <w:pStyle w:val="paragrafus3"/>
        <w:numPr>
          <w:ilvl w:val="0"/>
          <w:numId w:val="0"/>
        </w:numPr>
        <w:ind w:left="426"/>
      </w:pPr>
      <w:r>
        <w:t xml:space="preserve"> </w:t>
      </w:r>
      <w:proofErr w:type="gramStart"/>
      <w:r w:rsidRPr="00FC2D5C">
        <w:t>ír</w:t>
      </w:r>
      <w:proofErr w:type="gramEnd"/>
      <w:r w:rsidRPr="00FC2D5C">
        <w:t xml:space="preserve"> elő.</w:t>
      </w:r>
    </w:p>
    <w:p w:rsidR="009A25E2" w:rsidRDefault="009A25E2" w:rsidP="009A25E2">
      <w:pPr>
        <w:pStyle w:val="paragrafus2"/>
      </w:pPr>
      <w:r>
        <w:rPr>
          <w:rStyle w:val="Lbjegyzet-hivatkozs"/>
        </w:rPr>
        <w:footnoteReference w:id="14"/>
      </w:r>
      <w:r w:rsidRPr="000F07A3">
        <w:t xml:space="preserve">A 6.§ (1) bekezdés b)-c) pont szerinti esetekben az egészségügyi </w:t>
      </w:r>
      <w:proofErr w:type="spellStart"/>
      <w:r w:rsidRPr="000F07A3">
        <w:t>alkalmasságot</w:t>
      </w:r>
      <w:proofErr w:type="spellEnd"/>
      <w:r w:rsidRPr="000F07A3">
        <w:t xml:space="preserve"> az egyetem honlapján közzétett formanyomtatványon, közvetlenül a vizsga megkezdése előtt kell igazolni</w:t>
      </w:r>
    </w:p>
    <w:p w:rsidR="009A25E2" w:rsidRDefault="009A25E2" w:rsidP="009A25E2">
      <w:pPr>
        <w:pStyle w:val="paragrafus2"/>
      </w:pPr>
      <w:r>
        <w:rPr>
          <w:rStyle w:val="Lbjegyzet-hivatkozs"/>
        </w:rPr>
        <w:footnoteReference w:id="15"/>
      </w:r>
      <w:r w:rsidRPr="000F07A3">
        <w:t xml:space="preserve">A 6.§ (1) bekezdés szerinti esetekben nem kezdheti meg a vizsgát az a jelentkező, aki az egészségügyi </w:t>
      </w:r>
      <w:proofErr w:type="spellStart"/>
      <w:r w:rsidRPr="000F07A3">
        <w:t>alkalmasságot</w:t>
      </w:r>
      <w:proofErr w:type="spellEnd"/>
      <w:r w:rsidRPr="000F07A3">
        <w:t xml:space="preserve"> nem tudja igazolni</w:t>
      </w:r>
      <w:r>
        <w:t>.</w:t>
      </w:r>
    </w:p>
    <w:p w:rsidR="009A25E2" w:rsidRPr="00D3691C" w:rsidRDefault="009A25E2" w:rsidP="009A25E2">
      <w:pPr>
        <w:pStyle w:val="paragrafus2"/>
      </w:pPr>
      <w:r>
        <w:rPr>
          <w:rStyle w:val="Lbjegyzet-hivatkozs"/>
        </w:rPr>
        <w:footnoteReference w:id="16"/>
      </w:r>
      <w:r w:rsidRPr="00D3691C">
        <w:t xml:space="preserve">Az alapképzés felvételi eljárása során </w:t>
      </w:r>
      <w:r>
        <w:t>az egyetem:</w:t>
      </w:r>
    </w:p>
    <w:p w:rsidR="009A25E2" w:rsidRPr="0090775D" w:rsidRDefault="009A25E2" w:rsidP="009A25E2">
      <w:pPr>
        <w:pStyle w:val="paragrafus3"/>
      </w:pPr>
      <w:r>
        <w:t xml:space="preserve">a csecsemő- és kisgyermeknevelő, </w:t>
      </w:r>
      <w:r w:rsidRPr="0090775D">
        <w:t>az óvodapedagógus és a tanító szakokon alkalmassági,</w:t>
      </w:r>
    </w:p>
    <w:p w:rsidR="009A25E2" w:rsidRPr="00FC2D5C" w:rsidRDefault="009A25E2" w:rsidP="009A25E2">
      <w:pPr>
        <w:pStyle w:val="paragrafus3"/>
      </w:pPr>
      <w:r>
        <w:t>a</w:t>
      </w:r>
      <w:r w:rsidRPr="00FC2D5C">
        <w:t xml:space="preserve"> </w:t>
      </w:r>
      <w:r w:rsidRPr="00096F12">
        <w:t>sport- és rekreációszervezés [rekreációszervezés és egészségfejlesztés] és a sport- és rekreációszervezés [sportszervezés]</w:t>
      </w:r>
      <w:r>
        <w:t xml:space="preserve"> </w:t>
      </w:r>
      <w:r w:rsidRPr="00FC2D5C">
        <w:t>szakon a jelentkezők számára motoros alkalmassági,</w:t>
      </w:r>
    </w:p>
    <w:p w:rsidR="009A25E2" w:rsidRPr="00D16447" w:rsidRDefault="009A25E2" w:rsidP="009A25E2">
      <w:pPr>
        <w:pStyle w:val="paragrafus3"/>
      </w:pPr>
      <w:r>
        <w:t>a</w:t>
      </w:r>
      <w:r w:rsidRPr="00D16447">
        <w:t xml:space="preserve"> képalkotás [képalkotás] és a tervezőgrafika szakon szakmai alkalmassági és gyakorlati,</w:t>
      </w:r>
    </w:p>
    <w:p w:rsidR="009A25E2" w:rsidRPr="00FC2D5C" w:rsidRDefault="009A25E2" w:rsidP="009A25E2">
      <w:pPr>
        <w:pStyle w:val="paragrafus3"/>
      </w:pPr>
      <w:r>
        <w:t xml:space="preserve">a </w:t>
      </w:r>
      <w:r w:rsidRPr="00D16447">
        <w:t xml:space="preserve">zenekultúra, valamint a képalkotás [mozgóképkultúra- és média] szakon gyakorlati </w:t>
      </w:r>
      <w:r w:rsidRPr="00FC2D5C">
        <w:t>felvételi vizsgát szervez.</w:t>
      </w:r>
    </w:p>
    <w:p w:rsidR="009A25E2" w:rsidRPr="004959C2" w:rsidRDefault="009A25E2" w:rsidP="009A25E2">
      <w:pPr>
        <w:pStyle w:val="paragrafus2"/>
      </w:pPr>
      <w:r w:rsidRPr="00494533">
        <w:t xml:space="preserve">Az osztatlan tanárképzés felvételi eljárása során </w:t>
      </w:r>
      <w:r>
        <w:t>az egyetem</w:t>
      </w:r>
      <w:r w:rsidRPr="00494533">
        <w:t xml:space="preserve"> az ének-zene tanár, a média-,</w:t>
      </w:r>
      <w:r w:rsidRPr="004959C2">
        <w:t xml:space="preserve"> mozgókép és kommunikációtanár, valamint a rajz- és vizuáliskultúra-tanár szakon gyakorlati felvételi vizsgát szervez.</w:t>
      </w:r>
    </w:p>
    <w:p w:rsidR="009A25E2" w:rsidRPr="000A6FA2" w:rsidRDefault="009A25E2" w:rsidP="009A25E2">
      <w:pPr>
        <w:pStyle w:val="paragrafus2"/>
      </w:pPr>
      <w:r w:rsidRPr="00D16447">
        <w:rPr>
          <w:rStyle w:val="Lbjegyzet-hivatkozs"/>
        </w:rPr>
        <w:footnoteReference w:id="17"/>
      </w:r>
      <w:r w:rsidRPr="00D16447">
        <w:t xml:space="preserve">A sport- és rekreációszervezés [rekreációszervezés és egészségfejlesztés] és a sport- és rekreációszervezés [sportszervezés] szakon a motoros alkalmassági vizsga alól mentesül </w:t>
      </w:r>
      <w:r w:rsidRPr="000A6FA2">
        <w:t>az a jelentkező, aki testnevelés tárgyból sikeres érettségi vizsgaeredménnyel rendelkezik. A mentességre vonatkozóan külön kérelmet nem kell benyújtani.</w:t>
      </w:r>
    </w:p>
    <w:p w:rsidR="009A25E2" w:rsidRDefault="009A25E2" w:rsidP="009A25E2">
      <w:pPr>
        <w:pStyle w:val="paragrafus2"/>
      </w:pPr>
      <w:r w:rsidRPr="000A6FA2">
        <w:t xml:space="preserve">Az osztatlan tanárképzés felvételi eljárása során </w:t>
      </w:r>
      <w:r>
        <w:t>az egyetem</w:t>
      </w:r>
      <w:r w:rsidRPr="000A6FA2">
        <w:t xml:space="preserve"> pályaalkalmassági vizsgálatot ír elő.</w:t>
      </w:r>
    </w:p>
    <w:p w:rsidR="009A25E2" w:rsidRDefault="009A25E2" w:rsidP="009A25E2">
      <w:pPr>
        <w:pStyle w:val="paragrafus2"/>
      </w:pPr>
      <w:r w:rsidRPr="000F07A3">
        <w:t>A jelentkező a központi felvételi eljárásban a jelentkezés feltételeként meghatározott emelt szintű tantárgyi érettségi vizsgakövetelmény feltételét a Rendeletben meghatározott esetekben felsőoktatási felvételi szakmai vizsgával is teljesítheti</w:t>
      </w:r>
      <w:r>
        <w:t>.</w:t>
      </w:r>
    </w:p>
    <w:p w:rsidR="009A25E2" w:rsidRPr="00380E35" w:rsidRDefault="009A25E2" w:rsidP="009A25E2">
      <w:pPr>
        <w:pStyle w:val="paragrafus2"/>
      </w:pPr>
      <w:r w:rsidRPr="00380E35">
        <w:lastRenderedPageBreak/>
        <w:t>A nem magyar állampolgárok számára magyar nyelvi alkalmassági vizsga szervezhető.</w:t>
      </w:r>
    </w:p>
    <w:p w:rsidR="009A25E2" w:rsidRPr="00380E35" w:rsidRDefault="009A25E2" w:rsidP="009A25E2">
      <w:pPr>
        <w:pStyle w:val="paragrafus2"/>
      </w:pPr>
      <w:r>
        <w:rPr>
          <w:rStyle w:val="Lbjegyzet-hivatkozs"/>
        </w:rPr>
        <w:footnoteReference w:id="18"/>
      </w:r>
      <w:r>
        <w:rPr>
          <w:rStyle w:val="Lbjegyzet-hivatkozs"/>
        </w:rPr>
        <w:footnoteReference w:id="19"/>
      </w:r>
      <w:r w:rsidRPr="00380E35">
        <w:t xml:space="preserve">A pályaalkalmassági </w:t>
      </w:r>
      <w:r w:rsidRPr="00026488">
        <w:t xml:space="preserve">vizsga, a szakmai alkalmassági vizsga, a csecsemő- és kisgyermeknevelő, az óvodapedagógus és a tanító szakokon az alkalmassági vizsga, </w:t>
      </w:r>
      <w:r w:rsidRPr="00380E35">
        <w:t xml:space="preserve">valamint a nem magyar állampolgárok számára szervezett magyar nyelvi alkalmassági vizsga értékelése „megfelelt” vagy „nem felelt meg” minősítés lehet. A „nem felelt meg” minősítés esetén a jelentkező </w:t>
      </w:r>
      <w:proofErr w:type="spellStart"/>
      <w:r w:rsidRPr="00380E35">
        <w:t>összpontszáma</w:t>
      </w:r>
      <w:proofErr w:type="spellEnd"/>
      <w:r w:rsidRPr="00380E35">
        <w:t xml:space="preserve"> nulla.</w:t>
      </w:r>
      <w:r>
        <w:t xml:space="preserve"> A felsőoktatási felvételi szakmai vizsga minősítése megfelelt, ha a jelentkező a vizsgán legalább 45%-</w:t>
      </w:r>
      <w:proofErr w:type="spellStart"/>
      <w:r>
        <w:t>os</w:t>
      </w:r>
      <w:proofErr w:type="spellEnd"/>
      <w:r>
        <w:t xml:space="preserve"> teljesítményt nyújt.</w:t>
      </w:r>
    </w:p>
    <w:p w:rsidR="009A25E2" w:rsidRPr="00380E35" w:rsidRDefault="009A25E2" w:rsidP="009A25E2">
      <w:pPr>
        <w:pStyle w:val="paragrafus2"/>
      </w:pPr>
      <w:r w:rsidRPr="00380E35">
        <w:t xml:space="preserve">A gyakorlati vizsgán alapképzésben </w:t>
      </w:r>
      <w:proofErr w:type="gramStart"/>
      <w:r w:rsidRPr="00380E35">
        <w:t>maximálisan</w:t>
      </w:r>
      <w:proofErr w:type="gramEnd"/>
      <w:r w:rsidRPr="00380E35">
        <w:t xml:space="preserve"> 200 pont, osztatlan képzésben 100 pont szerezhető.</w:t>
      </w:r>
    </w:p>
    <w:p w:rsidR="009A25E2" w:rsidRPr="00380E35" w:rsidRDefault="009A25E2" w:rsidP="009A25E2">
      <w:pPr>
        <w:pStyle w:val="paragrafus2"/>
      </w:pPr>
      <w:r w:rsidRPr="00380E35">
        <w:t xml:space="preserve">A művészet és művészetközvetítés képzési terület képzéseire, valamint e képzési területekhez tartozó kétszakos osztatlan tanárképzésre jelentkezők esetében a felvételi </w:t>
      </w:r>
      <w:proofErr w:type="spellStart"/>
      <w:r w:rsidRPr="00380E35">
        <w:t>összpontszámot</w:t>
      </w:r>
      <w:proofErr w:type="spellEnd"/>
      <w:r w:rsidRPr="00380E35">
        <w:t xml:space="preserve"> kizárólag a gyakorlati vizsga pontszámának – amelynek maximális értéke 200 pont – megkettőzésével, többletpontok hozzáadása nélkül kell meghatározni. A kétszakos osztatlan tanárképzésben a művészeti jellegű szakon, a gyakorlati vizsgán 100 pont, a közismereti tanárszakon az érettségi vizsgatárgy százalékos eredménye alapján ugyancsak 100 pont szerezhető. A jelentkező </w:t>
      </w:r>
      <w:proofErr w:type="spellStart"/>
      <w:r w:rsidRPr="00380E35">
        <w:t>összpontszámát</w:t>
      </w:r>
      <w:proofErr w:type="spellEnd"/>
      <w:r w:rsidRPr="00380E35">
        <w:t xml:space="preserve"> ebben az esetben is többletpontok nélkül kell megállapítani.</w:t>
      </w:r>
    </w:p>
    <w:p w:rsidR="009A25E2" w:rsidRPr="00380E35" w:rsidRDefault="009A25E2" w:rsidP="009A25E2">
      <w:pPr>
        <w:pStyle w:val="paragrafus2"/>
      </w:pPr>
      <w:r w:rsidRPr="00380E35">
        <w:t xml:space="preserve">A felvételi vizsga követelményeit az </w:t>
      </w:r>
      <w:r>
        <w:t>e</w:t>
      </w:r>
      <w:r w:rsidRPr="00380E35">
        <w:t xml:space="preserve">gyetem határozza meg, amelyeket közzé tesz a Tájékoztatóban és az </w:t>
      </w:r>
      <w:r>
        <w:t>e</w:t>
      </w:r>
      <w:r w:rsidRPr="00380E35">
        <w:t>gyetem honlapján.</w:t>
      </w:r>
    </w:p>
    <w:p w:rsidR="009A25E2" w:rsidRDefault="009A25E2" w:rsidP="009A25E2">
      <w:pPr>
        <w:pStyle w:val="paragrafus2"/>
      </w:pPr>
      <w:r>
        <w:rPr>
          <w:rStyle w:val="Lbjegyzet-hivatkozs"/>
        </w:rPr>
        <w:footnoteReference w:id="20"/>
      </w:r>
      <w:r w:rsidRPr="00380E35">
        <w:t xml:space="preserve">A felvételi vizsgával kapcsolatban a jelentkezőt a felvételi jelentkezési kérelmében </w:t>
      </w:r>
      <w:r w:rsidRPr="000A6FA2">
        <w:t>megadott ele</w:t>
      </w:r>
      <w:r>
        <w:t xml:space="preserve">ktronikus levelezési címén </w:t>
      </w:r>
      <w:r w:rsidRPr="000A6FA2">
        <w:t>tájékoztat</w:t>
      </w:r>
      <w:r>
        <w:t>hat</w:t>
      </w:r>
      <w:r w:rsidRPr="000A6FA2">
        <w:t xml:space="preserve">ja </w:t>
      </w:r>
      <w:r>
        <w:t>az egyetem</w:t>
      </w:r>
      <w:r w:rsidRPr="000A6FA2">
        <w:t>.</w:t>
      </w:r>
    </w:p>
    <w:p w:rsidR="009A25E2" w:rsidRDefault="009A25E2" w:rsidP="009A25E2">
      <w:pPr>
        <w:pStyle w:val="paragrafus3"/>
        <w:numPr>
          <w:ilvl w:val="0"/>
          <w:numId w:val="0"/>
        </w:numPr>
        <w:ind w:left="994"/>
      </w:pPr>
    </w:p>
    <w:p w:rsidR="009A25E2" w:rsidRPr="00B020C3" w:rsidRDefault="009A25E2" w:rsidP="009A25E2">
      <w:pPr>
        <w:pStyle w:val="zskf4szabalyzatparagrafuscim"/>
        <w:spacing w:before="0"/>
        <w:rPr>
          <w:rFonts w:ascii="Times New Roman" w:hAnsi="Times New Roman" w:cs="Times New Roman"/>
          <w:color w:val="auto"/>
        </w:rPr>
      </w:pPr>
      <w:bookmarkStart w:id="22" w:name="_Toc482913348"/>
      <w:r w:rsidRPr="00B020C3">
        <w:rPr>
          <w:rFonts w:ascii="Times New Roman" w:hAnsi="Times New Roman" w:cs="Times New Roman"/>
          <w:color w:val="auto"/>
        </w:rPr>
        <w:t>A felvételi vizsgák közös szabályai</w:t>
      </w:r>
      <w:bookmarkEnd w:id="22"/>
      <w:r w:rsidRPr="00B020C3">
        <w:rPr>
          <w:rStyle w:val="Lbjegyzet-hivatkozs"/>
          <w:rFonts w:ascii="Times New Roman" w:hAnsi="Times New Roman"/>
          <w:color w:val="auto"/>
        </w:rPr>
        <w:footnoteReference w:id="21"/>
      </w:r>
    </w:p>
    <w:p w:rsidR="009A25E2" w:rsidRPr="00B020C3" w:rsidRDefault="009A25E2" w:rsidP="009A25E2">
      <w:pPr>
        <w:pStyle w:val="paragrafus2"/>
        <w:numPr>
          <w:ilvl w:val="0"/>
          <w:numId w:val="0"/>
        </w:numPr>
        <w:ind w:left="709"/>
        <w:jc w:val="center"/>
      </w:pPr>
      <w:r w:rsidRPr="00B020C3">
        <w:t>7.§</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(1)</w:t>
      </w:r>
      <w:r w:rsidRPr="00B020C3">
        <w:rPr>
          <w:rFonts w:ascii="Times New Roman" w:hAnsi="Times New Roman" w:cs="Times New Roman"/>
          <w:color w:val="auto"/>
        </w:rPr>
        <w:tab/>
        <w:t>A vizsgák időpontjáról és helyszínéről – eltérő rendelkezés hiányában – az FKO vezetőjének és a vizsgaszervezésben érintett campusok oktatási iroda/csoport vezetőinek javaslata alapján az oktatási igazgató dönt.</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(2)</w:t>
      </w:r>
      <w:r w:rsidRPr="00B020C3">
        <w:rPr>
          <w:rFonts w:ascii="Times New Roman" w:hAnsi="Times New Roman" w:cs="Times New Roman"/>
          <w:color w:val="auto"/>
        </w:rPr>
        <w:tab/>
        <w:t xml:space="preserve">A felvételi vizsgák vizsgaszervezői feladatait általában az FKO vezetője, pedagógusképzésben az alkalmassági vizsgák megszervezését a Pedagógusképző Központfőigazgatója látja el. </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(3)</w:t>
      </w:r>
      <w:r w:rsidRPr="00B020C3">
        <w:rPr>
          <w:rFonts w:ascii="Times New Roman" w:hAnsi="Times New Roman" w:cs="Times New Roman"/>
          <w:color w:val="auto"/>
        </w:rPr>
        <w:tab/>
        <w:t>Az egyes vizsgákra beosztott vizsgázók személyét az FKO vezetője, a székhelyen kívüli vizsgák esetében az érintett campus oktatási iroda/csoport vezetője határozza meg.</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(4)</w:t>
      </w:r>
      <w:r w:rsidRPr="00B020C3">
        <w:rPr>
          <w:rFonts w:ascii="Times New Roman" w:hAnsi="Times New Roman" w:cs="Times New Roman"/>
          <w:color w:val="auto"/>
        </w:rPr>
        <w:tab/>
        <w:t xml:space="preserve">A vizsgák iratait, a felvételi </w:t>
      </w:r>
      <w:proofErr w:type="gramStart"/>
      <w:r w:rsidRPr="00B020C3">
        <w:rPr>
          <w:rFonts w:ascii="Times New Roman" w:hAnsi="Times New Roman" w:cs="Times New Roman"/>
          <w:color w:val="auto"/>
        </w:rPr>
        <w:t>dokumentumokat</w:t>
      </w:r>
      <w:proofErr w:type="gramEnd"/>
      <w:r w:rsidRPr="00B020C3">
        <w:rPr>
          <w:rFonts w:ascii="Times New Roman" w:hAnsi="Times New Roman" w:cs="Times New Roman"/>
          <w:color w:val="auto"/>
        </w:rPr>
        <w:t xml:space="preserve"> a felvételi eljárás adataival azonos módon és ideig kell megőrizni.</w:t>
      </w:r>
    </w:p>
    <w:p w:rsidR="009A25E2" w:rsidRPr="00346190" w:rsidRDefault="009A25E2" w:rsidP="009A25E2">
      <w:pPr>
        <w:pStyle w:val="zskf6szabalyzatbekezds"/>
        <w:rPr>
          <w:rFonts w:ascii="Times New Roman" w:hAnsi="Times New Roman" w:cs="Times New Roman"/>
          <w:color w:val="auto"/>
        </w:rPr>
      </w:pPr>
    </w:p>
    <w:p w:rsidR="009A25E2" w:rsidRPr="00B020C3" w:rsidRDefault="009A25E2" w:rsidP="009A25E2">
      <w:pPr>
        <w:pStyle w:val="paragrafus3"/>
        <w:numPr>
          <w:ilvl w:val="0"/>
          <w:numId w:val="0"/>
        </w:numPr>
        <w:ind w:left="994"/>
        <w:jc w:val="center"/>
      </w:pPr>
      <w:r w:rsidRPr="00B020C3">
        <w:t>8.§</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(1)</w:t>
      </w:r>
      <w:r w:rsidRPr="00B020C3">
        <w:rPr>
          <w:rFonts w:ascii="Times New Roman" w:hAnsi="Times New Roman" w:cs="Times New Roman"/>
          <w:color w:val="auto"/>
        </w:rPr>
        <w:tab/>
        <w:t>Az FKO vezetője, a székhelyen kívüli vizsgák esetében az érintett campus oktatási iroda/csoport vezetője legalább 14 nappal a vizsga előtt értesíti a vizsgázókat</w:t>
      </w:r>
    </w:p>
    <w:p w:rsidR="009A25E2" w:rsidRDefault="009A25E2" w:rsidP="009A25E2">
      <w:pPr>
        <w:pStyle w:val="zskf7szablyzatpont"/>
        <w:rPr>
          <w:rFonts w:ascii="Times New Roman" w:hAnsi="Times New Roman" w:cs="Times New Roman"/>
          <w:color w:val="auto"/>
        </w:rPr>
      </w:pPr>
    </w:p>
    <w:p w:rsidR="009A25E2" w:rsidRPr="00B020C3" w:rsidRDefault="009A25E2" w:rsidP="009A25E2">
      <w:pPr>
        <w:pStyle w:val="zskf7szablyzatpont"/>
        <w:rPr>
          <w:rFonts w:ascii="Times New Roman" w:hAnsi="Times New Roman" w:cs="Times New Roman"/>
          <w:color w:val="auto"/>
        </w:rPr>
      </w:pPr>
      <w:proofErr w:type="gramStart"/>
      <w:r w:rsidRPr="00B020C3">
        <w:rPr>
          <w:rFonts w:ascii="Times New Roman" w:hAnsi="Times New Roman" w:cs="Times New Roman"/>
          <w:color w:val="auto"/>
        </w:rPr>
        <w:t>a</w:t>
      </w:r>
      <w:proofErr w:type="gramEnd"/>
      <w:r w:rsidRPr="00B020C3">
        <w:rPr>
          <w:rFonts w:ascii="Times New Roman" w:hAnsi="Times New Roman" w:cs="Times New Roman"/>
          <w:color w:val="auto"/>
        </w:rPr>
        <w:t>)</w:t>
      </w:r>
      <w:r w:rsidRPr="00B020C3">
        <w:rPr>
          <w:rFonts w:ascii="Times New Roman" w:hAnsi="Times New Roman" w:cs="Times New Roman"/>
          <w:color w:val="auto"/>
        </w:rPr>
        <w:tab/>
        <w:t>a vizsga időpontjáról és helyszínéről,</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lastRenderedPageBreak/>
        <w:t>b)</w:t>
      </w:r>
      <w:r w:rsidRPr="00B020C3">
        <w:rPr>
          <w:rFonts w:ascii="Times New Roman" w:hAnsi="Times New Roman" w:cs="Times New Roman"/>
          <w:color w:val="auto"/>
        </w:rPr>
        <w:tab/>
        <w:t>a vizsgatantárgyakról,</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c)</w:t>
      </w:r>
      <w:r w:rsidRPr="00B020C3">
        <w:rPr>
          <w:rFonts w:ascii="Times New Roman" w:hAnsi="Times New Roman" w:cs="Times New Roman"/>
          <w:color w:val="auto"/>
        </w:rPr>
        <w:tab/>
        <w:t>a vizsgaeredmények közlésének módjáról és várható időpontjáról,</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d)</w:t>
      </w:r>
      <w:r w:rsidRPr="00B020C3">
        <w:rPr>
          <w:rFonts w:ascii="Times New Roman" w:hAnsi="Times New Roman" w:cs="Times New Roman"/>
          <w:color w:val="auto"/>
        </w:rPr>
        <w:tab/>
        <w:t>a vizsga értékelésével kapcsolatos kifogások kezelésének rendjéről,</w:t>
      </w:r>
    </w:p>
    <w:p w:rsidR="009A25E2" w:rsidRPr="00B020C3" w:rsidRDefault="009A25E2" w:rsidP="009A25E2">
      <w:pPr>
        <w:pStyle w:val="zskf7szablyzatpont"/>
        <w:rPr>
          <w:rFonts w:ascii="Times New Roman" w:hAnsi="Times New Roman" w:cs="Times New Roman"/>
          <w:b/>
          <w:color w:val="auto"/>
        </w:rPr>
      </w:pPr>
      <w:proofErr w:type="gramStart"/>
      <w:r w:rsidRPr="00B020C3">
        <w:rPr>
          <w:rFonts w:ascii="Times New Roman" w:hAnsi="Times New Roman" w:cs="Times New Roman"/>
          <w:color w:val="auto"/>
        </w:rPr>
        <w:t>e</w:t>
      </w:r>
      <w:proofErr w:type="gramEnd"/>
      <w:r w:rsidRPr="00B020C3">
        <w:rPr>
          <w:rFonts w:ascii="Times New Roman" w:hAnsi="Times New Roman" w:cs="Times New Roman"/>
          <w:color w:val="auto"/>
        </w:rPr>
        <w:t>)</w:t>
      </w:r>
      <w:r w:rsidRPr="00B020C3">
        <w:rPr>
          <w:rFonts w:ascii="Times New Roman" w:hAnsi="Times New Roman" w:cs="Times New Roman"/>
          <w:color w:val="auto"/>
        </w:rPr>
        <w:tab/>
        <w:t>írásbeli vizsga esetén a betekintés módjáról</w:t>
      </w:r>
      <w:r w:rsidRPr="00B020C3">
        <w:rPr>
          <w:rFonts w:ascii="Times New Roman" w:hAnsi="Times New Roman" w:cs="Times New Roman"/>
          <w:b/>
          <w:color w:val="auto"/>
        </w:rPr>
        <w:t>,</w:t>
      </w:r>
    </w:p>
    <w:p w:rsidR="009A25E2" w:rsidRPr="00B020C3" w:rsidRDefault="009A25E2" w:rsidP="009A25E2">
      <w:pPr>
        <w:pStyle w:val="zskf7szablyzatpont"/>
        <w:rPr>
          <w:rFonts w:ascii="Times New Roman" w:hAnsi="Times New Roman" w:cs="Times New Roman"/>
          <w:color w:val="auto"/>
        </w:rPr>
      </w:pPr>
      <w:proofErr w:type="gramStart"/>
      <w:r w:rsidRPr="00B020C3">
        <w:rPr>
          <w:rFonts w:ascii="Times New Roman" w:hAnsi="Times New Roman" w:cs="Times New Roman"/>
          <w:color w:val="auto"/>
        </w:rPr>
        <w:t>f</w:t>
      </w:r>
      <w:proofErr w:type="gramEnd"/>
      <w:r w:rsidRPr="00B020C3">
        <w:rPr>
          <w:rFonts w:ascii="Times New Roman" w:hAnsi="Times New Roman" w:cs="Times New Roman"/>
          <w:color w:val="auto"/>
        </w:rPr>
        <w:t>) azon eszközökről, melyeket a vizsgázónak kell a vizsgára magával hoznia.</w:t>
      </w:r>
    </w:p>
    <w:p w:rsidR="009A25E2" w:rsidRPr="00B020C3" w:rsidRDefault="009A25E2" w:rsidP="009A25E2">
      <w:pPr>
        <w:pStyle w:val="zskf7szablyzatpont"/>
        <w:ind w:left="454" w:hanging="454"/>
        <w:rPr>
          <w:rFonts w:ascii="Times New Roman" w:hAnsi="Times New Roman" w:cs="Times New Roman"/>
          <w:color w:val="auto"/>
        </w:rPr>
      </w:pPr>
      <w:r w:rsidRPr="00B020C3">
        <w:rPr>
          <w:rFonts w:ascii="Times New Roman" w:hAnsi="Times New Roman" w:cs="Times New Roman"/>
          <w:color w:val="auto"/>
        </w:rPr>
        <w:t>(2)</w:t>
      </w:r>
      <w:r w:rsidRPr="00B020C3">
        <w:rPr>
          <w:rFonts w:ascii="Times New Roman" w:hAnsi="Times New Roman" w:cs="Times New Roman"/>
          <w:color w:val="auto"/>
        </w:rPr>
        <w:tab/>
        <w:t xml:space="preserve"> Az FKO vezetője, a székhelyen kívüli vizsgák esetében az érintett campus oktatási iroda/csoport vezetője</w:t>
      </w:r>
      <w:r>
        <w:rPr>
          <w:rFonts w:ascii="Times New Roman" w:hAnsi="Times New Roman" w:cs="Times New Roman"/>
          <w:color w:val="auto"/>
        </w:rPr>
        <w:t xml:space="preserve"> </w:t>
      </w:r>
      <w:r w:rsidRPr="00657374">
        <w:rPr>
          <w:rFonts w:ascii="Times New Roman" w:hAnsi="Times New Roman" w:cs="Times New Roman"/>
          <w:color w:val="auto"/>
        </w:rPr>
        <w:t>a</w:t>
      </w:r>
      <w:r w:rsidRPr="00B020C3">
        <w:rPr>
          <w:rFonts w:ascii="Times New Roman" w:hAnsi="Times New Roman" w:cs="Times New Roman"/>
          <w:color w:val="auto"/>
        </w:rPr>
        <w:t xml:space="preserve"> vizsgázókról – vizsgatermenként – jegyzőkönyvet készít. A jegyzőkönyv tartalmazza</w:t>
      </w:r>
    </w:p>
    <w:p w:rsidR="009A25E2" w:rsidRPr="00B020C3" w:rsidRDefault="009A25E2" w:rsidP="009A25E2">
      <w:pPr>
        <w:pStyle w:val="zskf7szablyzatpont"/>
        <w:rPr>
          <w:rFonts w:ascii="Times New Roman" w:hAnsi="Times New Roman" w:cs="Times New Roman"/>
          <w:color w:val="auto"/>
        </w:rPr>
      </w:pPr>
      <w:proofErr w:type="gramStart"/>
      <w:r w:rsidRPr="00B020C3">
        <w:rPr>
          <w:rFonts w:ascii="Times New Roman" w:hAnsi="Times New Roman" w:cs="Times New Roman"/>
          <w:color w:val="auto"/>
        </w:rPr>
        <w:t>a</w:t>
      </w:r>
      <w:proofErr w:type="gramEnd"/>
      <w:r w:rsidRPr="00B020C3">
        <w:rPr>
          <w:rFonts w:ascii="Times New Roman" w:hAnsi="Times New Roman" w:cs="Times New Roman"/>
          <w:color w:val="auto"/>
        </w:rPr>
        <w:t xml:space="preserve">) a felvételi eljárás megnevezését, </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 xml:space="preserve">b) a vizsga helyét, idejét, </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 xml:space="preserve">c) a vizsga tárgyát, </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 xml:space="preserve">d) írásbeli vizsga esetén a vizsgafelügyelők nevét, vizsgafelügyeleti időtartamát és </w:t>
      </w:r>
      <w:proofErr w:type="spellStart"/>
      <w:r w:rsidRPr="00B020C3">
        <w:rPr>
          <w:rFonts w:ascii="Times New Roman" w:hAnsi="Times New Roman" w:cs="Times New Roman"/>
          <w:color w:val="auto"/>
        </w:rPr>
        <w:t>sajátkezű</w:t>
      </w:r>
      <w:proofErr w:type="spellEnd"/>
      <w:r w:rsidRPr="00B020C3">
        <w:rPr>
          <w:rFonts w:ascii="Times New Roman" w:hAnsi="Times New Roman" w:cs="Times New Roman"/>
          <w:color w:val="auto"/>
        </w:rPr>
        <w:t xml:space="preserve"> aláírását,</w:t>
      </w:r>
    </w:p>
    <w:p w:rsidR="009A25E2" w:rsidRPr="008D1261" w:rsidRDefault="009A25E2" w:rsidP="009A25E2">
      <w:pPr>
        <w:pStyle w:val="Nincstrkz"/>
        <w:ind w:firstLine="454"/>
        <w:rPr>
          <w:rFonts w:ascii="Times New Roman" w:hAnsi="Times New Roman"/>
          <w:sz w:val="24"/>
          <w:szCs w:val="24"/>
        </w:rPr>
      </w:pPr>
      <w:proofErr w:type="gramStart"/>
      <w:r w:rsidRPr="008D1261">
        <w:rPr>
          <w:rFonts w:ascii="Times New Roman" w:hAnsi="Times New Roman"/>
          <w:sz w:val="24"/>
          <w:szCs w:val="24"/>
        </w:rPr>
        <w:t>e</w:t>
      </w:r>
      <w:proofErr w:type="gramEnd"/>
      <w:r w:rsidRPr="008D1261">
        <w:rPr>
          <w:rFonts w:ascii="Times New Roman" w:hAnsi="Times New Roman"/>
          <w:sz w:val="24"/>
          <w:szCs w:val="24"/>
        </w:rPr>
        <w:t>)</w:t>
      </w:r>
      <w:r>
        <w:rPr>
          <w:rFonts w:ascii="Times New Roman" w:hAnsi="Times New Roman"/>
          <w:sz w:val="24"/>
          <w:szCs w:val="24"/>
        </w:rPr>
        <w:t xml:space="preserve"> </w:t>
      </w:r>
      <w:r w:rsidRPr="008D1261">
        <w:rPr>
          <w:rFonts w:ascii="Times New Roman" w:hAnsi="Times New Roman"/>
          <w:sz w:val="24"/>
          <w:szCs w:val="24"/>
        </w:rPr>
        <w:t>a vizsga lebonyolítása során történt esetleges rendkívüli események leírását,</w:t>
      </w:r>
    </w:p>
    <w:p w:rsidR="009A25E2" w:rsidRPr="008D1261" w:rsidRDefault="009A25E2" w:rsidP="009A25E2">
      <w:pPr>
        <w:pStyle w:val="Nincstrkz"/>
        <w:ind w:firstLine="454"/>
        <w:rPr>
          <w:rFonts w:ascii="Times New Roman" w:hAnsi="Times New Roman"/>
          <w:sz w:val="24"/>
          <w:szCs w:val="24"/>
        </w:rPr>
      </w:pPr>
      <w:proofErr w:type="gramStart"/>
      <w:r w:rsidRPr="008D1261">
        <w:rPr>
          <w:rFonts w:ascii="Times New Roman" w:hAnsi="Times New Roman"/>
          <w:sz w:val="24"/>
          <w:szCs w:val="24"/>
        </w:rPr>
        <w:t>f</w:t>
      </w:r>
      <w:proofErr w:type="gramEnd"/>
      <w:r w:rsidRPr="008D1261">
        <w:rPr>
          <w:rFonts w:ascii="Times New Roman" w:hAnsi="Times New Roman"/>
          <w:sz w:val="24"/>
          <w:szCs w:val="24"/>
        </w:rPr>
        <w:t>) vizsgázónként a vizsgázó</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ab/>
      </w:r>
      <w:proofErr w:type="gramStart"/>
      <w:r w:rsidRPr="00B020C3">
        <w:rPr>
          <w:rFonts w:ascii="Times New Roman" w:hAnsi="Times New Roman" w:cs="Times New Roman"/>
          <w:color w:val="auto"/>
        </w:rPr>
        <w:t>fa</w:t>
      </w:r>
      <w:proofErr w:type="gramEnd"/>
      <w:r w:rsidRPr="00B020C3">
        <w:rPr>
          <w:rFonts w:ascii="Times New Roman" w:hAnsi="Times New Roman" w:cs="Times New Roman"/>
          <w:color w:val="auto"/>
        </w:rPr>
        <w:t>)</w:t>
      </w:r>
      <w:r w:rsidRPr="00B020C3">
        <w:rPr>
          <w:rFonts w:ascii="Times New Roman" w:hAnsi="Times New Roman" w:cs="Times New Roman"/>
          <w:color w:val="auto"/>
        </w:rPr>
        <w:tab/>
        <w:t>viselt nevét</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ab/>
      </w:r>
      <w:proofErr w:type="spellStart"/>
      <w:r w:rsidRPr="00B020C3">
        <w:rPr>
          <w:rFonts w:ascii="Times New Roman" w:hAnsi="Times New Roman" w:cs="Times New Roman"/>
          <w:color w:val="auto"/>
        </w:rPr>
        <w:t>fb</w:t>
      </w:r>
      <w:proofErr w:type="spellEnd"/>
      <w:r w:rsidRPr="00B020C3">
        <w:rPr>
          <w:rFonts w:ascii="Times New Roman" w:hAnsi="Times New Roman" w:cs="Times New Roman"/>
          <w:color w:val="auto"/>
        </w:rPr>
        <w:t>)</w:t>
      </w:r>
      <w:r w:rsidRPr="00B020C3">
        <w:rPr>
          <w:rFonts w:ascii="Times New Roman" w:hAnsi="Times New Roman" w:cs="Times New Roman"/>
          <w:color w:val="auto"/>
        </w:rPr>
        <w:tab/>
        <w:t>anyja születéskori nevét</w:t>
      </w:r>
    </w:p>
    <w:p w:rsidR="009A25E2" w:rsidRPr="00B020C3" w:rsidRDefault="009A25E2" w:rsidP="009A25E2">
      <w:pPr>
        <w:pStyle w:val="zskf7szablyzatpont"/>
        <w:rPr>
          <w:rFonts w:ascii="Times New Roman" w:hAnsi="Times New Roman" w:cs="Times New Roman"/>
          <w:color w:val="auto"/>
        </w:rPr>
      </w:pPr>
      <w:r w:rsidRPr="00B020C3">
        <w:rPr>
          <w:rFonts w:ascii="Times New Roman" w:hAnsi="Times New Roman" w:cs="Times New Roman"/>
          <w:color w:val="auto"/>
        </w:rPr>
        <w:tab/>
      </w:r>
      <w:proofErr w:type="spellStart"/>
      <w:r w:rsidRPr="00B020C3">
        <w:rPr>
          <w:rFonts w:ascii="Times New Roman" w:hAnsi="Times New Roman" w:cs="Times New Roman"/>
          <w:color w:val="auto"/>
        </w:rPr>
        <w:t>fc</w:t>
      </w:r>
      <w:proofErr w:type="spellEnd"/>
      <w:r w:rsidRPr="00B020C3">
        <w:rPr>
          <w:rFonts w:ascii="Times New Roman" w:hAnsi="Times New Roman" w:cs="Times New Roman"/>
          <w:color w:val="auto"/>
        </w:rPr>
        <w:t>)</w:t>
      </w:r>
      <w:r w:rsidRPr="00B020C3">
        <w:rPr>
          <w:rFonts w:ascii="Times New Roman" w:hAnsi="Times New Roman" w:cs="Times New Roman"/>
          <w:color w:val="auto"/>
        </w:rPr>
        <w:tab/>
        <w:t>születési helyét, idejét.</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 xml:space="preserve">(3) </w:t>
      </w:r>
      <w:r>
        <w:rPr>
          <w:rFonts w:ascii="Times New Roman" w:hAnsi="Times New Roman" w:cs="Times New Roman"/>
          <w:color w:val="auto"/>
        </w:rPr>
        <w:t xml:space="preserve"> </w:t>
      </w:r>
      <w:r w:rsidRPr="00B020C3">
        <w:rPr>
          <w:rFonts w:ascii="Times New Roman" w:hAnsi="Times New Roman" w:cs="Times New Roman"/>
          <w:color w:val="auto"/>
        </w:rPr>
        <w:t>A jegyzőkönyv mellékletei</w:t>
      </w:r>
    </w:p>
    <w:p w:rsidR="009A25E2" w:rsidRPr="008D1261" w:rsidRDefault="009A25E2" w:rsidP="009A25E2">
      <w:pPr>
        <w:pStyle w:val="Nincstrkz"/>
        <w:rPr>
          <w:rFonts w:ascii="Times New Roman" w:hAnsi="Times New Roman"/>
          <w:sz w:val="24"/>
          <w:szCs w:val="24"/>
        </w:rPr>
      </w:pPr>
      <w:r w:rsidRPr="008D1261">
        <w:rPr>
          <w:rFonts w:ascii="Times New Roman" w:hAnsi="Times New Roman"/>
          <w:sz w:val="24"/>
          <w:szCs w:val="24"/>
        </w:rPr>
        <w:tab/>
      </w:r>
      <w:proofErr w:type="gramStart"/>
      <w:r w:rsidRPr="008D1261">
        <w:rPr>
          <w:rFonts w:ascii="Times New Roman" w:hAnsi="Times New Roman"/>
          <w:sz w:val="24"/>
          <w:szCs w:val="24"/>
        </w:rPr>
        <w:t>a</w:t>
      </w:r>
      <w:proofErr w:type="gramEnd"/>
      <w:r w:rsidRPr="008D1261">
        <w:rPr>
          <w:rFonts w:ascii="Times New Roman" w:hAnsi="Times New Roman"/>
          <w:sz w:val="24"/>
          <w:szCs w:val="24"/>
        </w:rPr>
        <w:t>) jelenléti ív,</w:t>
      </w:r>
    </w:p>
    <w:p w:rsidR="009A25E2" w:rsidRPr="008D1261" w:rsidRDefault="009A25E2" w:rsidP="009A25E2">
      <w:pPr>
        <w:pStyle w:val="Nincstrkz"/>
        <w:rPr>
          <w:rFonts w:ascii="Times New Roman" w:hAnsi="Times New Roman"/>
          <w:sz w:val="24"/>
          <w:szCs w:val="24"/>
        </w:rPr>
      </w:pPr>
      <w:r w:rsidRPr="008D1261">
        <w:rPr>
          <w:rFonts w:ascii="Times New Roman" w:hAnsi="Times New Roman"/>
          <w:sz w:val="24"/>
          <w:szCs w:val="24"/>
        </w:rPr>
        <w:tab/>
        <w:t>b) eredményközlő lap,</w:t>
      </w:r>
    </w:p>
    <w:p w:rsidR="009A25E2" w:rsidRPr="008D1261" w:rsidRDefault="009A25E2" w:rsidP="009A25E2">
      <w:pPr>
        <w:pStyle w:val="Nincstrkz"/>
        <w:rPr>
          <w:rFonts w:ascii="Times New Roman" w:hAnsi="Times New Roman"/>
          <w:sz w:val="24"/>
          <w:szCs w:val="24"/>
        </w:rPr>
      </w:pPr>
      <w:r w:rsidRPr="008D1261">
        <w:rPr>
          <w:rFonts w:ascii="Times New Roman" w:hAnsi="Times New Roman"/>
          <w:sz w:val="24"/>
          <w:szCs w:val="24"/>
        </w:rPr>
        <w:tab/>
        <w:t>c) írásbeli vizsga esetén az ülésrend.</w:t>
      </w:r>
    </w:p>
    <w:p w:rsidR="009A25E2" w:rsidRPr="008D1261" w:rsidRDefault="009A25E2" w:rsidP="009A25E2">
      <w:pPr>
        <w:pStyle w:val="Nincstrkz"/>
        <w:rPr>
          <w:rFonts w:ascii="Times New Roman" w:hAnsi="Times New Roman"/>
          <w:sz w:val="24"/>
          <w:szCs w:val="24"/>
        </w:rPr>
      </w:pPr>
      <w:r w:rsidRPr="008D1261">
        <w:rPr>
          <w:rFonts w:ascii="Times New Roman" w:hAnsi="Times New Roman"/>
          <w:sz w:val="24"/>
          <w:szCs w:val="24"/>
        </w:rPr>
        <w:t>(4</w:t>
      </w:r>
      <w:r>
        <w:rPr>
          <w:rFonts w:ascii="Times New Roman" w:hAnsi="Times New Roman"/>
          <w:sz w:val="24"/>
          <w:szCs w:val="24"/>
        </w:rPr>
        <w:t xml:space="preserve">) </w:t>
      </w:r>
      <w:r w:rsidRPr="008D1261">
        <w:rPr>
          <w:rFonts w:ascii="Times New Roman" w:hAnsi="Times New Roman"/>
          <w:sz w:val="24"/>
          <w:szCs w:val="24"/>
        </w:rPr>
        <w:t xml:space="preserve">A vizsga megkezdése előtt </w:t>
      </w:r>
    </w:p>
    <w:p w:rsidR="009A25E2" w:rsidRPr="00B020C3" w:rsidRDefault="009A25E2" w:rsidP="009A25E2">
      <w:pPr>
        <w:pStyle w:val="zskf7szablyzatpont"/>
        <w:rPr>
          <w:rFonts w:ascii="Times New Roman" w:hAnsi="Times New Roman" w:cs="Times New Roman"/>
          <w:color w:val="auto"/>
        </w:rPr>
      </w:pPr>
      <w:r>
        <w:rPr>
          <w:rFonts w:ascii="Times New Roman" w:hAnsi="Times New Roman" w:cs="Times New Roman"/>
          <w:color w:val="auto"/>
        </w:rPr>
        <w:tab/>
      </w:r>
      <w:proofErr w:type="gramStart"/>
      <w:r w:rsidRPr="00B020C3">
        <w:rPr>
          <w:rFonts w:ascii="Times New Roman" w:hAnsi="Times New Roman" w:cs="Times New Roman"/>
          <w:color w:val="auto"/>
        </w:rPr>
        <w:t>a</w:t>
      </w:r>
      <w:proofErr w:type="gramEnd"/>
      <w:r w:rsidRPr="00B020C3">
        <w:rPr>
          <w:rFonts w:ascii="Times New Roman" w:hAnsi="Times New Roman" w:cs="Times New Roman"/>
          <w:color w:val="auto"/>
        </w:rPr>
        <w:t>)</w:t>
      </w:r>
      <w:r w:rsidRPr="00B020C3">
        <w:rPr>
          <w:rFonts w:ascii="Times New Roman" w:hAnsi="Times New Roman" w:cs="Times New Roman"/>
          <w:color w:val="auto"/>
        </w:rPr>
        <w:tab/>
        <w:t>alkalmassági,</w:t>
      </w:r>
      <w:r>
        <w:rPr>
          <w:rFonts w:ascii="Times New Roman" w:hAnsi="Times New Roman" w:cs="Times New Roman"/>
          <w:color w:val="auto"/>
        </w:rPr>
        <w:t xml:space="preserve"> </w:t>
      </w:r>
      <w:r w:rsidRPr="00B020C3">
        <w:rPr>
          <w:rFonts w:ascii="Times New Roman" w:hAnsi="Times New Roman" w:cs="Times New Roman"/>
          <w:color w:val="auto"/>
        </w:rPr>
        <w:t>szóbeli és gyakorlati vizsga esetén a jegyzőkönyvvezető</w:t>
      </w:r>
    </w:p>
    <w:p w:rsidR="009A25E2" w:rsidRDefault="009A25E2" w:rsidP="009A25E2">
      <w:pPr>
        <w:pStyle w:val="zskf7szablyzatpont"/>
        <w:rPr>
          <w:rFonts w:ascii="Times New Roman" w:hAnsi="Times New Roman" w:cs="Times New Roman"/>
          <w:color w:val="auto"/>
        </w:rPr>
      </w:pPr>
      <w:r>
        <w:rPr>
          <w:rFonts w:ascii="Times New Roman" w:hAnsi="Times New Roman" w:cs="Times New Roman"/>
          <w:color w:val="auto"/>
        </w:rPr>
        <w:tab/>
      </w:r>
      <w:r w:rsidRPr="00B020C3">
        <w:rPr>
          <w:rFonts w:ascii="Times New Roman" w:hAnsi="Times New Roman" w:cs="Times New Roman"/>
          <w:color w:val="auto"/>
        </w:rPr>
        <w:t>b)</w:t>
      </w:r>
      <w:r w:rsidRPr="00B020C3">
        <w:rPr>
          <w:rFonts w:ascii="Times New Roman" w:hAnsi="Times New Roman" w:cs="Times New Roman"/>
          <w:color w:val="auto"/>
        </w:rPr>
        <w:tab/>
        <w:t>írásbeli vizsga esetén a teremfelügyelő</w:t>
      </w:r>
    </w:p>
    <w:p w:rsidR="009A25E2" w:rsidRPr="00B020C3" w:rsidRDefault="009A25E2" w:rsidP="009A25E2">
      <w:pPr>
        <w:pStyle w:val="zskf7szablyzatpont"/>
        <w:rPr>
          <w:rFonts w:ascii="Times New Roman" w:hAnsi="Times New Roman" w:cs="Times New Roman"/>
          <w:color w:val="auto"/>
        </w:rPr>
      </w:pPr>
      <w:r>
        <w:rPr>
          <w:rFonts w:ascii="Times New Roman" w:hAnsi="Times New Roman" w:cs="Times New Roman"/>
          <w:color w:val="auto"/>
        </w:rPr>
        <w:tab/>
      </w:r>
      <w:proofErr w:type="gramStart"/>
      <w:r w:rsidRPr="00B020C3">
        <w:rPr>
          <w:rFonts w:ascii="Times New Roman" w:hAnsi="Times New Roman" w:cs="Times New Roman"/>
          <w:color w:val="auto"/>
        </w:rPr>
        <w:t>személyazonosításra</w:t>
      </w:r>
      <w:proofErr w:type="gramEnd"/>
      <w:r w:rsidRPr="00B020C3">
        <w:rPr>
          <w:rFonts w:ascii="Times New Roman" w:hAnsi="Times New Roman" w:cs="Times New Roman"/>
          <w:color w:val="auto"/>
        </w:rPr>
        <w:t xml:space="preserve"> alkalmas okmány alapján ellenőrzi a vizsgázó személyazonosságát. </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(5)</w:t>
      </w:r>
      <w:r w:rsidRPr="00B020C3">
        <w:rPr>
          <w:rFonts w:ascii="Times New Roman" w:hAnsi="Times New Roman" w:cs="Times New Roman"/>
          <w:color w:val="auto"/>
        </w:rPr>
        <w:tab/>
        <w:t>A vizsgázó a jelenlétét jelenléti íven aláírásával igazolja. Amennyiben a jelentkező nem jelenik meg a vizsgán, a jegyzőkönyvvezető, illetve a teremfelügyelő „nem jelent meg” bejegyzést ír a jelenléti ívre.</w:t>
      </w:r>
    </w:p>
    <w:p w:rsidR="009A25E2" w:rsidRPr="00B020C3" w:rsidRDefault="009A25E2" w:rsidP="009A25E2">
      <w:pPr>
        <w:pStyle w:val="zskf5szablyzatparagrafus"/>
        <w:rPr>
          <w:rFonts w:ascii="Times New Roman" w:hAnsi="Times New Roman" w:cs="Times New Roman"/>
          <w:color w:val="auto"/>
        </w:rPr>
      </w:pPr>
      <w:r w:rsidRPr="00B020C3">
        <w:rPr>
          <w:rFonts w:ascii="Times New Roman" w:hAnsi="Times New Roman" w:cs="Times New Roman"/>
          <w:color w:val="auto"/>
        </w:rPr>
        <w:t>9.§</w:t>
      </w:r>
    </w:p>
    <w:p w:rsidR="009A25E2" w:rsidRPr="00B020C3" w:rsidRDefault="009A25E2" w:rsidP="009A25E2">
      <w:pPr>
        <w:pStyle w:val="zskf6szabalyzatbekezds"/>
        <w:rPr>
          <w:rFonts w:ascii="Times New Roman" w:hAnsi="Times New Roman" w:cs="Times New Roman"/>
          <w:color w:val="auto"/>
        </w:rPr>
      </w:pP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(1)</w:t>
      </w:r>
      <w:r w:rsidRPr="00B020C3">
        <w:rPr>
          <w:rFonts w:ascii="Times New Roman" w:hAnsi="Times New Roman" w:cs="Times New Roman"/>
          <w:color w:val="auto"/>
        </w:rPr>
        <w:tab/>
        <w:t xml:space="preserve">A vizsga időtartama alatt a vizsgaterembe a vizsgázókon, a vizsgáztató/felügyelő személyeken, valamint a vizsga ellenőrzésére érkező hivatalos szervek képviselőin kívül csak a vizsgaszervező engedélyével lehet belépni. </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(2)</w:t>
      </w:r>
      <w:r w:rsidRPr="00B020C3">
        <w:rPr>
          <w:rFonts w:ascii="Times New Roman" w:hAnsi="Times New Roman" w:cs="Times New Roman"/>
          <w:color w:val="auto"/>
        </w:rPr>
        <w:tab/>
        <w:t>Amennyiben ez a vizsga biztonságos lebonyolításának érdekében szükséges – az FKO vezetőjének, illetve az érintett campusok oktatási iroda/csoport vezetőinek engedélyével jelen lehet olyan személy, aki a technikai feltételek folyamatos biztosításáért felelős.</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(3)</w:t>
      </w:r>
      <w:r w:rsidRPr="00B020C3">
        <w:rPr>
          <w:rFonts w:ascii="Times New Roman" w:hAnsi="Times New Roman" w:cs="Times New Roman"/>
          <w:color w:val="auto"/>
        </w:rPr>
        <w:tab/>
        <w:t>A vizsgázóknak a feladat megoldásához segítség nem adható.</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(4)</w:t>
      </w:r>
      <w:r w:rsidRPr="00B020C3">
        <w:rPr>
          <w:rFonts w:ascii="Times New Roman" w:hAnsi="Times New Roman" w:cs="Times New Roman"/>
          <w:color w:val="auto"/>
        </w:rPr>
        <w:tab/>
        <w:t>A vizsgateremben a vizsgázókat nem lehet felügyelet nélkül hagyni. A vizsgabizottság tagjainak, illetve a vizsgafelügyelőknek kell gondoskodniuk arról, hogy a vizsgázók ne használjanak nem megengedett segédeszközt, ne vegyék igénybe más személy segítségét.</w:t>
      </w:r>
    </w:p>
    <w:p w:rsidR="009A25E2" w:rsidRPr="00346190" w:rsidRDefault="009A25E2" w:rsidP="009A25E2">
      <w:pPr>
        <w:pStyle w:val="zskf7szablyzatpont"/>
        <w:rPr>
          <w:rFonts w:ascii="Times New Roman" w:hAnsi="Times New Roman" w:cs="Times New Roman"/>
          <w:color w:val="auto"/>
        </w:rPr>
      </w:pPr>
    </w:p>
    <w:p w:rsidR="009A25E2" w:rsidRPr="00B020C3" w:rsidRDefault="009A25E2" w:rsidP="009A25E2">
      <w:pPr>
        <w:pStyle w:val="zskf4szabalyzatparagrafuscim"/>
        <w:rPr>
          <w:rFonts w:ascii="Times New Roman" w:hAnsi="Times New Roman" w:cs="Times New Roman"/>
          <w:color w:val="auto"/>
        </w:rPr>
      </w:pPr>
      <w:bookmarkStart w:id="23" w:name="_Toc482913354"/>
      <w:r w:rsidRPr="00B020C3">
        <w:rPr>
          <w:rFonts w:ascii="Times New Roman" w:hAnsi="Times New Roman" w:cs="Times New Roman"/>
          <w:color w:val="auto"/>
        </w:rPr>
        <w:t>A szóbeli vizsgák szabályai</w:t>
      </w:r>
      <w:bookmarkEnd w:id="23"/>
      <w:r>
        <w:rPr>
          <w:rStyle w:val="Lbjegyzet-hivatkozs"/>
          <w:rFonts w:ascii="Times New Roman" w:hAnsi="Times New Roman"/>
          <w:color w:val="auto"/>
        </w:rPr>
        <w:footnoteReference w:id="22"/>
      </w:r>
    </w:p>
    <w:p w:rsidR="009A25E2" w:rsidRPr="00B020C3" w:rsidRDefault="009A25E2" w:rsidP="009A25E2">
      <w:pPr>
        <w:pStyle w:val="zskf5szablyzatparagrafus"/>
        <w:rPr>
          <w:rFonts w:ascii="Times New Roman" w:hAnsi="Times New Roman" w:cs="Times New Roman"/>
          <w:color w:val="auto"/>
        </w:rPr>
      </w:pPr>
      <w:r w:rsidRPr="00B020C3">
        <w:rPr>
          <w:rFonts w:ascii="Times New Roman" w:hAnsi="Times New Roman" w:cs="Times New Roman"/>
          <w:color w:val="auto"/>
        </w:rPr>
        <w:lastRenderedPageBreak/>
        <w:t>10.</w:t>
      </w:r>
      <w:r>
        <w:rPr>
          <w:rFonts w:ascii="Times New Roman" w:hAnsi="Times New Roman" w:cs="Times New Roman"/>
          <w:color w:val="auto"/>
        </w:rPr>
        <w:t xml:space="preserve"> </w:t>
      </w:r>
      <w:r w:rsidRPr="00B020C3">
        <w:rPr>
          <w:rFonts w:ascii="Times New Roman" w:hAnsi="Times New Roman" w:cs="Times New Roman"/>
          <w:color w:val="auto"/>
        </w:rPr>
        <w:t>§</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(1)</w:t>
      </w:r>
      <w:r w:rsidRPr="00B020C3">
        <w:rPr>
          <w:rFonts w:ascii="Times New Roman" w:hAnsi="Times New Roman" w:cs="Times New Roman"/>
          <w:color w:val="auto"/>
        </w:rPr>
        <w:tab/>
        <w:t>A szóbeli bizottságokat az érintett tanszékvezetők, intézetvezetők állítják össze, az elnökök kijelölésére a kari tanácsok jogosultak.</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(2)</w:t>
      </w:r>
      <w:r w:rsidRPr="00B020C3">
        <w:rPr>
          <w:rFonts w:ascii="Times New Roman" w:hAnsi="Times New Roman" w:cs="Times New Roman"/>
          <w:color w:val="auto"/>
        </w:rPr>
        <w:tab/>
        <w:t>A szóbeli bizottságok legalább három főből állnak, melyből egy fő az EHÖK képviselője.</w:t>
      </w:r>
    </w:p>
    <w:p w:rsidR="009A25E2" w:rsidRPr="00B020C3" w:rsidRDefault="009A25E2" w:rsidP="009A25E2">
      <w:pPr>
        <w:pStyle w:val="zskf5szablyzatparagrafus"/>
        <w:rPr>
          <w:rFonts w:ascii="Times New Roman" w:hAnsi="Times New Roman" w:cs="Times New Roman"/>
          <w:color w:val="auto"/>
        </w:rPr>
      </w:pPr>
      <w:bookmarkStart w:id="24" w:name="_Toc482913356"/>
      <w:r w:rsidRPr="00B020C3">
        <w:rPr>
          <w:rFonts w:ascii="Times New Roman" w:hAnsi="Times New Roman" w:cs="Times New Roman"/>
          <w:color w:val="auto"/>
        </w:rPr>
        <w:t>11. §</w:t>
      </w:r>
      <w:bookmarkEnd w:id="24"/>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(1)</w:t>
      </w:r>
      <w:r w:rsidRPr="00B020C3">
        <w:rPr>
          <w:rFonts w:ascii="Times New Roman" w:hAnsi="Times New Roman" w:cs="Times New Roman"/>
          <w:color w:val="auto"/>
        </w:rPr>
        <w:tab/>
        <w:t>A vizsgázóknak a vizsga kezdete előtt 15 perccel kell megjelenniük a helyszínen.</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(2)</w:t>
      </w:r>
      <w:r w:rsidRPr="00B020C3">
        <w:rPr>
          <w:rFonts w:ascii="Times New Roman" w:hAnsi="Times New Roman" w:cs="Times New Roman"/>
          <w:color w:val="auto"/>
        </w:rPr>
        <w:tab/>
        <w:t>A szóbeli vizsga során a jelentkezőnek legalább 10 perces felkészülési időt kell adni, feleletének időtartama a 20 percet nem haladhatja meg.</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(3)</w:t>
      </w:r>
      <w:r w:rsidRPr="00B020C3">
        <w:rPr>
          <w:rFonts w:ascii="Times New Roman" w:hAnsi="Times New Roman" w:cs="Times New Roman"/>
          <w:color w:val="auto"/>
        </w:rPr>
        <w:tab/>
        <w:t>A bizottság egy alkalommal újabb feladatot adhat a jelentkezőnek, ekkor korábbi feleletét figyelmen kívül kell hagyni.</w:t>
      </w:r>
    </w:p>
    <w:p w:rsidR="009A25E2" w:rsidRPr="00B020C3" w:rsidRDefault="009A25E2" w:rsidP="009A25E2">
      <w:pPr>
        <w:pStyle w:val="zskf6szabalyzatbekezds"/>
        <w:rPr>
          <w:rFonts w:ascii="Times New Roman" w:hAnsi="Times New Roman" w:cs="Times New Roman"/>
          <w:color w:val="auto"/>
        </w:rPr>
      </w:pPr>
      <w:r w:rsidRPr="00B020C3">
        <w:rPr>
          <w:rFonts w:ascii="Times New Roman" w:hAnsi="Times New Roman" w:cs="Times New Roman"/>
          <w:color w:val="auto"/>
        </w:rPr>
        <w:t>(4)</w:t>
      </w:r>
      <w:r w:rsidRPr="00B020C3">
        <w:rPr>
          <w:rFonts w:ascii="Times New Roman" w:hAnsi="Times New Roman" w:cs="Times New Roman"/>
          <w:color w:val="auto"/>
        </w:rPr>
        <w:tab/>
        <w:t>A szóbeli vizsga eredményét a bizottság határozza meg és saját döntése alapján közvetlenül a felelet után vagy az összes felelet elhangzása után közli a jelentkezővel. A szóbeli vizsga eredményét nyilvánosan közölni csak valamennyi vizsgázó egyértelmű beleegyezése esetén lehet.</w:t>
      </w:r>
    </w:p>
    <w:p w:rsidR="009A25E2" w:rsidRPr="006A1426" w:rsidRDefault="009A25E2" w:rsidP="009A25E2">
      <w:pPr>
        <w:pStyle w:val="zskf6szabalyzatbekezds"/>
        <w:rPr>
          <w:rFonts w:ascii="Times New Roman" w:hAnsi="Times New Roman" w:cs="Times New Roman"/>
          <w:color w:val="auto"/>
        </w:rPr>
      </w:pPr>
    </w:p>
    <w:p w:rsidR="009A25E2" w:rsidRPr="008D1261" w:rsidRDefault="009A25E2" w:rsidP="009A25E2">
      <w:pPr>
        <w:pStyle w:val="zskf4szabalyzatparagrafuscim"/>
        <w:rPr>
          <w:rFonts w:ascii="Times New Roman" w:hAnsi="Times New Roman" w:cs="Times New Roman"/>
          <w:color w:val="auto"/>
        </w:rPr>
      </w:pPr>
      <w:bookmarkStart w:id="25" w:name="_Toc482913357"/>
      <w:r w:rsidRPr="008D1261">
        <w:rPr>
          <w:rFonts w:ascii="Times New Roman" w:hAnsi="Times New Roman" w:cs="Times New Roman"/>
          <w:color w:val="auto"/>
        </w:rPr>
        <w:t>Az írásbeli vizsgák szabályai</w:t>
      </w:r>
      <w:bookmarkEnd w:id="25"/>
      <w:r w:rsidRPr="008D1261">
        <w:rPr>
          <w:rStyle w:val="Lbjegyzet-hivatkozs"/>
          <w:rFonts w:ascii="Times New Roman" w:hAnsi="Times New Roman"/>
          <w:color w:val="auto"/>
        </w:rPr>
        <w:footnoteReference w:id="23"/>
      </w:r>
    </w:p>
    <w:p w:rsidR="009A25E2" w:rsidRPr="008D1261" w:rsidRDefault="009A25E2" w:rsidP="009A25E2">
      <w:pPr>
        <w:pStyle w:val="zskf5szablyzatparagrafus"/>
        <w:rPr>
          <w:rFonts w:ascii="Times New Roman" w:hAnsi="Times New Roman" w:cs="Times New Roman"/>
          <w:color w:val="auto"/>
        </w:rPr>
      </w:pPr>
      <w:bookmarkStart w:id="26" w:name="_Toc482913358"/>
      <w:r w:rsidRPr="008D1261">
        <w:rPr>
          <w:rFonts w:ascii="Times New Roman" w:hAnsi="Times New Roman" w:cs="Times New Roman"/>
          <w:color w:val="auto"/>
        </w:rPr>
        <w:t>12. §</w:t>
      </w:r>
      <w:bookmarkEnd w:id="26"/>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(1)</w:t>
      </w:r>
      <w:r w:rsidRPr="008D1261">
        <w:rPr>
          <w:rFonts w:ascii="Times New Roman" w:hAnsi="Times New Roman" w:cs="Times New Roman"/>
          <w:color w:val="auto"/>
        </w:rPr>
        <w:tab/>
        <w:t>Az FKO vezetője, a székhelyen kívüli vizsgák esetében az érintett campus oktatási iroda/csoport vezetője az írásbeli vizsgán várhatóan részt vevő jelentkezők száma és a vizsgatantárgyak ismeretében</w:t>
      </w:r>
    </w:p>
    <w:p w:rsidR="009A25E2" w:rsidRPr="008D1261" w:rsidRDefault="009A25E2" w:rsidP="009A25E2">
      <w:pPr>
        <w:pStyle w:val="zskf7szablyzatpont"/>
        <w:rPr>
          <w:rFonts w:ascii="Times New Roman" w:hAnsi="Times New Roman" w:cs="Times New Roman"/>
          <w:color w:val="auto"/>
        </w:rPr>
      </w:pPr>
      <w:proofErr w:type="gramStart"/>
      <w:r w:rsidRPr="008D1261">
        <w:rPr>
          <w:rFonts w:ascii="Times New Roman" w:hAnsi="Times New Roman" w:cs="Times New Roman"/>
          <w:color w:val="auto"/>
        </w:rPr>
        <w:t>a</w:t>
      </w:r>
      <w:proofErr w:type="gramEnd"/>
      <w:r w:rsidRPr="008D1261">
        <w:rPr>
          <w:rFonts w:ascii="Times New Roman" w:hAnsi="Times New Roman" w:cs="Times New Roman"/>
          <w:color w:val="auto"/>
        </w:rPr>
        <w:t>)</w:t>
      </w:r>
      <w:r w:rsidRPr="008D1261">
        <w:rPr>
          <w:rFonts w:ascii="Times New Roman" w:hAnsi="Times New Roman" w:cs="Times New Roman"/>
          <w:color w:val="auto"/>
        </w:rPr>
        <w:tab/>
        <w:t>meghatározza és biztosítja a vizsga helyszínét,</w:t>
      </w:r>
    </w:p>
    <w:p w:rsidR="009A25E2" w:rsidRPr="008D1261" w:rsidRDefault="009A25E2" w:rsidP="009A25E2">
      <w:pPr>
        <w:pStyle w:val="zskf7szablyzatpont"/>
        <w:rPr>
          <w:rFonts w:ascii="Times New Roman" w:hAnsi="Times New Roman" w:cs="Times New Roman"/>
          <w:color w:val="auto"/>
        </w:rPr>
      </w:pPr>
      <w:r w:rsidRPr="008D1261">
        <w:rPr>
          <w:rFonts w:ascii="Times New Roman" w:hAnsi="Times New Roman" w:cs="Times New Roman"/>
          <w:color w:val="auto"/>
        </w:rPr>
        <w:t>b)</w:t>
      </w:r>
      <w:r w:rsidRPr="008D1261">
        <w:rPr>
          <w:rFonts w:ascii="Times New Roman" w:hAnsi="Times New Roman" w:cs="Times New Roman"/>
          <w:color w:val="auto"/>
        </w:rPr>
        <w:tab/>
        <w:t>megszervezi a vizsga felügyeletét.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(2)</w:t>
      </w:r>
      <w:r w:rsidRPr="008D1261">
        <w:rPr>
          <w:rFonts w:ascii="Times New Roman" w:hAnsi="Times New Roman" w:cs="Times New Roman"/>
          <w:color w:val="auto"/>
        </w:rPr>
        <w:tab/>
        <w:t xml:space="preserve">Az írásbeli vizsga felügyeletét egy teremben vizsgázó húsz </w:t>
      </w:r>
      <w:proofErr w:type="spellStart"/>
      <w:r w:rsidRPr="008D1261">
        <w:rPr>
          <w:rFonts w:ascii="Times New Roman" w:hAnsi="Times New Roman" w:cs="Times New Roman"/>
          <w:color w:val="auto"/>
        </w:rPr>
        <w:t>főig</w:t>
      </w:r>
      <w:proofErr w:type="spellEnd"/>
      <w:r w:rsidRPr="008D1261">
        <w:rPr>
          <w:rFonts w:ascii="Times New Roman" w:hAnsi="Times New Roman" w:cs="Times New Roman"/>
          <w:color w:val="auto"/>
        </w:rPr>
        <w:t xml:space="preserve"> legalább két fő látja el és minden további megkezdett húsz fő vizsgázó esetén újabb egy fő vizsgafelügyelőt kell kijelölni. A felügyeletet ellátók egyike – a vizsgaszervező döntése alapján – a vezető felügyelő.</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(3)</w:t>
      </w:r>
      <w:r w:rsidRPr="008D1261">
        <w:rPr>
          <w:rFonts w:ascii="Times New Roman" w:hAnsi="Times New Roman" w:cs="Times New Roman"/>
          <w:color w:val="auto"/>
        </w:rPr>
        <w:tab/>
        <w:t>Vizsga felügyeletével csak olyan személyt lehet megbízni, aki az adott vizsga értékelésében vagy az értékelés felülvizsgálatában nem vesz részt.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(4)</w:t>
      </w:r>
      <w:r w:rsidRPr="008D1261">
        <w:rPr>
          <w:rFonts w:ascii="Times New Roman" w:hAnsi="Times New Roman" w:cs="Times New Roman"/>
          <w:color w:val="auto"/>
        </w:rPr>
        <w:tab/>
        <w:t xml:space="preserve">Vizsga értékelésének felülvizsgálatában nem vehet részt az, aki a vizsga értékelésében részt vett. </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(5)</w:t>
      </w:r>
      <w:r w:rsidRPr="008D1261">
        <w:rPr>
          <w:rFonts w:ascii="Times New Roman" w:hAnsi="Times New Roman" w:cs="Times New Roman"/>
          <w:color w:val="auto"/>
        </w:rPr>
        <w:tab/>
        <w:t xml:space="preserve">A vizsga felügyeletét ellátó személyeket úgy kell beosztani, hogy legalább óránként </w:t>
      </w:r>
      <w:proofErr w:type="spellStart"/>
      <w:r w:rsidRPr="008D1261">
        <w:rPr>
          <w:rFonts w:ascii="Times New Roman" w:hAnsi="Times New Roman" w:cs="Times New Roman"/>
          <w:color w:val="auto"/>
        </w:rPr>
        <w:t>váltsák</w:t>
      </w:r>
      <w:proofErr w:type="spellEnd"/>
      <w:r w:rsidRPr="008D1261">
        <w:rPr>
          <w:rFonts w:ascii="Times New Roman" w:hAnsi="Times New Roman" w:cs="Times New Roman"/>
          <w:color w:val="auto"/>
        </w:rPr>
        <w:t xml:space="preserve"> egymást.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 xml:space="preserve">(6) A felsőoktatási felvételi szakmai vizsga tételsorait az Oktatási Hivatal biztosítja, melyet a felvi.hu oldalon tesz közé. Az egyetem és </w:t>
      </w:r>
      <w:proofErr w:type="gramStart"/>
      <w:r w:rsidRPr="008D1261">
        <w:rPr>
          <w:rFonts w:ascii="Times New Roman" w:hAnsi="Times New Roman" w:cs="Times New Roman"/>
          <w:color w:val="auto"/>
        </w:rPr>
        <w:t>az</w:t>
      </w:r>
      <w:proofErr w:type="gramEnd"/>
      <w:r w:rsidRPr="008D1261">
        <w:rPr>
          <w:rFonts w:ascii="Times New Roman" w:hAnsi="Times New Roman" w:cs="Times New Roman"/>
          <w:color w:val="auto"/>
        </w:rPr>
        <w:t xml:space="preserve"> OH között a hivatalos kapcsolattartó az FKO vezetője, aki a feladatlapok titkosságáért és sokszorosításáért is felel.</w:t>
      </w:r>
    </w:p>
    <w:p w:rsidR="009A25E2" w:rsidRPr="008D1261" w:rsidRDefault="009A25E2" w:rsidP="009A25E2">
      <w:pPr>
        <w:pStyle w:val="zskf5szablyzatparagrafus"/>
        <w:rPr>
          <w:rFonts w:ascii="Times New Roman" w:hAnsi="Times New Roman" w:cs="Times New Roman"/>
          <w:color w:val="auto"/>
        </w:rPr>
      </w:pPr>
      <w:bookmarkStart w:id="27" w:name="_Toc482913359"/>
      <w:r w:rsidRPr="008D1261">
        <w:rPr>
          <w:rFonts w:ascii="Times New Roman" w:hAnsi="Times New Roman" w:cs="Times New Roman"/>
          <w:color w:val="auto"/>
        </w:rPr>
        <w:t>13. §</w:t>
      </w:r>
      <w:bookmarkEnd w:id="27"/>
    </w:p>
    <w:p w:rsidR="009A25E2" w:rsidRPr="008D1261" w:rsidRDefault="009A25E2" w:rsidP="009A25E2">
      <w:pPr>
        <w:pStyle w:val="zskf6szabalyzatbekezds"/>
        <w:rPr>
          <w:rFonts w:ascii="Times New Roman" w:hAnsi="Times New Roman" w:cs="Times New Roman"/>
          <w:color w:val="auto"/>
        </w:rPr>
      </w:pPr>
      <w:bookmarkStart w:id="28" w:name="_Ref480740360"/>
      <w:r w:rsidRPr="008D1261">
        <w:rPr>
          <w:rFonts w:ascii="Times New Roman" w:hAnsi="Times New Roman" w:cs="Times New Roman"/>
          <w:color w:val="auto"/>
        </w:rPr>
        <w:t>(1)</w:t>
      </w:r>
      <w:r w:rsidRPr="008D1261">
        <w:rPr>
          <w:rFonts w:ascii="Times New Roman" w:hAnsi="Times New Roman" w:cs="Times New Roman"/>
          <w:color w:val="auto"/>
        </w:rPr>
        <w:tab/>
        <w:t xml:space="preserve">Az írásbeli feladatok </w:t>
      </w:r>
      <w:bookmarkEnd w:id="28"/>
      <w:r w:rsidRPr="008D1261">
        <w:rPr>
          <w:rFonts w:ascii="Times New Roman" w:hAnsi="Times New Roman" w:cs="Times New Roman"/>
          <w:color w:val="auto"/>
        </w:rPr>
        <w:t>kidolgozására a vizsgaleírásban meghatározott idő áll a vizsgázó rendelkezésére.</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(2)</w:t>
      </w:r>
      <w:r w:rsidRPr="008D1261">
        <w:rPr>
          <w:rFonts w:ascii="Times New Roman" w:hAnsi="Times New Roman" w:cs="Times New Roman"/>
          <w:color w:val="auto"/>
        </w:rPr>
        <w:tab/>
        <w:t>Az Egyetem hatáskörében meghatározott vizsga esetén a vizsga teljes ideje nem lehet több 180 percnél.</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(3)</w:t>
      </w:r>
      <w:r w:rsidRPr="008D1261">
        <w:rPr>
          <w:rFonts w:ascii="Times New Roman" w:hAnsi="Times New Roman" w:cs="Times New Roman"/>
          <w:color w:val="auto"/>
        </w:rPr>
        <w:tab/>
        <w:t>Amennyiben a vizsga lebonyolítását bármilyen esemény megzavarja, az adott vizsgarész feladatainak megoldására rendelkezésére álló időt a kiesett idővel meg kell hosszabbítani.</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lastRenderedPageBreak/>
        <w:t>(4)</w:t>
      </w:r>
      <w:r w:rsidRPr="008D1261">
        <w:rPr>
          <w:rFonts w:ascii="Times New Roman" w:hAnsi="Times New Roman" w:cs="Times New Roman"/>
          <w:color w:val="auto"/>
        </w:rPr>
        <w:tab/>
        <w:t xml:space="preserve">A vizsgázónak legalább harminc perccel az írásbeli vizsga időpontja előtt meg kell jelennie a vizsga helyszínén. </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(5)</w:t>
      </w:r>
      <w:r w:rsidRPr="008D1261">
        <w:rPr>
          <w:rFonts w:ascii="Times New Roman" w:hAnsi="Times New Roman" w:cs="Times New Roman"/>
          <w:color w:val="auto"/>
        </w:rPr>
        <w:tab/>
        <w:t xml:space="preserve">A vizsga kezdetén az ülésrendet a vizsgafelügyelők úgy alakítják ki, hogy a vizsgázók ne </w:t>
      </w:r>
      <w:proofErr w:type="gramStart"/>
      <w:r w:rsidRPr="008D1261">
        <w:rPr>
          <w:rFonts w:ascii="Times New Roman" w:hAnsi="Times New Roman" w:cs="Times New Roman"/>
          <w:color w:val="auto"/>
        </w:rPr>
        <w:t>segíthessék</w:t>
      </w:r>
      <w:proofErr w:type="gramEnd"/>
      <w:r w:rsidRPr="008D1261">
        <w:rPr>
          <w:rFonts w:ascii="Times New Roman" w:hAnsi="Times New Roman" w:cs="Times New Roman"/>
          <w:color w:val="auto"/>
        </w:rPr>
        <w:t xml:space="preserve"> és ne zavarhassák egymást. Az ülésrendet a vizsgafelügyelők írásban rögzítik.</w:t>
      </w:r>
    </w:p>
    <w:p w:rsidR="009A25E2" w:rsidRPr="008D1261" w:rsidRDefault="009A25E2" w:rsidP="009A25E2">
      <w:pPr>
        <w:pStyle w:val="zskf5szablyzatparagrafus"/>
        <w:rPr>
          <w:rFonts w:ascii="Times New Roman" w:hAnsi="Times New Roman" w:cs="Times New Roman"/>
          <w:color w:val="auto"/>
        </w:rPr>
      </w:pPr>
      <w:bookmarkStart w:id="29" w:name="_Toc482913360"/>
      <w:r w:rsidRPr="008D1261">
        <w:rPr>
          <w:rFonts w:ascii="Times New Roman" w:hAnsi="Times New Roman" w:cs="Times New Roman"/>
          <w:color w:val="auto"/>
        </w:rPr>
        <w:t>14. §</w:t>
      </w:r>
      <w:bookmarkEnd w:id="29"/>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(1)</w:t>
      </w:r>
      <w:r w:rsidRPr="008D1261">
        <w:rPr>
          <w:rFonts w:ascii="Times New Roman" w:hAnsi="Times New Roman" w:cs="Times New Roman"/>
          <w:color w:val="auto"/>
        </w:rPr>
        <w:tab/>
        <w:t>A vizsga kezdete előtt</w:t>
      </w:r>
      <w:r>
        <w:rPr>
          <w:rFonts w:ascii="Times New Roman" w:hAnsi="Times New Roman" w:cs="Times New Roman"/>
          <w:color w:val="auto"/>
        </w:rPr>
        <w:t xml:space="preserve"> </w:t>
      </w:r>
      <w:r w:rsidRPr="008D1261">
        <w:rPr>
          <w:rFonts w:ascii="Times New Roman" w:hAnsi="Times New Roman" w:cs="Times New Roman"/>
          <w:color w:val="auto"/>
        </w:rPr>
        <w:t>a vizsgafelügyelők ismertetik a vizsga szabályait és a szabályok megszegésének következményeit.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(2)</w:t>
      </w:r>
      <w:r w:rsidRPr="008D1261">
        <w:rPr>
          <w:rFonts w:ascii="Times New Roman" w:hAnsi="Times New Roman" w:cs="Times New Roman"/>
          <w:color w:val="auto"/>
        </w:rPr>
        <w:tab/>
        <w:t>A vizsga kezdetekor minden vizsgázó megkapja a feladatlapot (több vizsgarész esetén az első rész feladatlapját). A feladatlapon a vizsgázó feltünteti azonosítóját. A feladatlapok megoldását a vizsgafelügyelők jelzésére lehet elkezdeni. A feladatlap megoldására rendelkezésre álló idő leteltét a vizsgafelügyelők jelzik, ekkor a megoldást be kell fejezni. A feladatlapokat a vizsgafelügyelők összegyűjtik és vizsgázónként külön borítékba rakják. A borítékon a vizsgázó azonosítóját és a vizsgatárgy megnevezését kell és lehet feltüntetni.</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(3)</w:t>
      </w:r>
      <w:r w:rsidRPr="008D1261">
        <w:rPr>
          <w:rFonts w:ascii="Times New Roman" w:hAnsi="Times New Roman" w:cs="Times New Roman"/>
          <w:color w:val="auto"/>
        </w:rPr>
        <w:tab/>
        <w:t xml:space="preserve">A feladatlapok leadásakor a </w:t>
      </w:r>
      <w:proofErr w:type="gramStart"/>
      <w:r w:rsidRPr="008D1261">
        <w:rPr>
          <w:rFonts w:ascii="Times New Roman" w:hAnsi="Times New Roman" w:cs="Times New Roman"/>
          <w:color w:val="auto"/>
        </w:rPr>
        <w:t>vizsgafelügyelő(</w:t>
      </w:r>
      <w:proofErr w:type="gramEnd"/>
      <w:r w:rsidRPr="008D1261">
        <w:rPr>
          <w:rFonts w:ascii="Times New Roman" w:hAnsi="Times New Roman" w:cs="Times New Roman"/>
          <w:color w:val="auto"/>
        </w:rPr>
        <w:t xml:space="preserve">k) a vizsgajegyzéken </w:t>
      </w:r>
      <w:proofErr w:type="spellStart"/>
      <w:r w:rsidRPr="008D1261">
        <w:rPr>
          <w:rFonts w:ascii="Times New Roman" w:hAnsi="Times New Roman" w:cs="Times New Roman"/>
          <w:color w:val="auto"/>
        </w:rPr>
        <w:t>feljegyzik</w:t>
      </w:r>
      <w:proofErr w:type="spellEnd"/>
      <w:r w:rsidRPr="008D1261">
        <w:rPr>
          <w:rFonts w:ascii="Times New Roman" w:hAnsi="Times New Roman" w:cs="Times New Roman"/>
          <w:color w:val="auto"/>
        </w:rPr>
        <w:t xml:space="preserve"> a feladatlap leadásának időpontját.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(4)</w:t>
      </w:r>
      <w:r w:rsidRPr="008D1261">
        <w:rPr>
          <w:rFonts w:ascii="Times New Roman" w:hAnsi="Times New Roman" w:cs="Times New Roman"/>
          <w:color w:val="auto"/>
        </w:rPr>
        <w:tab/>
        <w:t>Több vizsgarész esetén minden vizsgarésznél a (2)-(3) bekezdés szerint kell eljárni.</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(5)</w:t>
      </w:r>
      <w:r w:rsidRPr="008D1261">
        <w:rPr>
          <w:rFonts w:ascii="Times New Roman" w:hAnsi="Times New Roman" w:cs="Times New Roman"/>
          <w:color w:val="auto"/>
        </w:rPr>
        <w:tab/>
        <w:t>A fel nem használt feladatlapokat és vizsgalapokat a vizsgafelügyelők őrzik és a vizsga végén átadják a vizsgaszervezőnek.</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(6)</w:t>
      </w:r>
      <w:r w:rsidRPr="008D1261">
        <w:rPr>
          <w:rFonts w:ascii="Times New Roman" w:hAnsi="Times New Roman" w:cs="Times New Roman"/>
          <w:color w:val="auto"/>
        </w:rPr>
        <w:tab/>
        <w:t>A vizsga befejezésekor a vizsgázó és a vizsgafelügyelők egyeztetik a borítékban található feladatlapokat, a rajtuk szereplő azonosítókat és a borítékon szereplő azonosítókat. A borítékon a vizsgázó és a felügyelő aláírásával igazolja az egyeztetés és az egyezés tényét, majd a borítékot lezárják.</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(7)</w:t>
      </w:r>
      <w:r w:rsidRPr="008D1261">
        <w:rPr>
          <w:rFonts w:ascii="Times New Roman" w:hAnsi="Times New Roman" w:cs="Times New Roman"/>
          <w:color w:val="auto"/>
        </w:rPr>
        <w:tab/>
        <w:t>A lezárt borítékokat a vizsgafelügyelő átadja a vizsgaszervezőnek, aki gondoskodik azok megőrzéséről és arról, hogy illetéktelenek ne férjenek hozzájuk.</w:t>
      </w:r>
    </w:p>
    <w:p w:rsidR="009A25E2" w:rsidRPr="008D1261" w:rsidRDefault="009A25E2" w:rsidP="009A25E2">
      <w:pPr>
        <w:pStyle w:val="zskf5szablyzatparagrafus"/>
        <w:rPr>
          <w:rFonts w:ascii="Times New Roman" w:hAnsi="Times New Roman" w:cs="Times New Roman"/>
          <w:color w:val="auto"/>
        </w:rPr>
      </w:pPr>
      <w:bookmarkStart w:id="30" w:name="_Toc482913361"/>
      <w:r w:rsidRPr="008D1261">
        <w:rPr>
          <w:rFonts w:ascii="Times New Roman" w:hAnsi="Times New Roman" w:cs="Times New Roman"/>
          <w:color w:val="auto"/>
        </w:rPr>
        <w:t>15. §</w:t>
      </w:r>
      <w:bookmarkEnd w:id="30"/>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(1)</w:t>
      </w:r>
      <w:r w:rsidRPr="008D1261">
        <w:rPr>
          <w:rFonts w:ascii="Times New Roman" w:hAnsi="Times New Roman" w:cs="Times New Roman"/>
          <w:color w:val="auto"/>
        </w:rPr>
        <w:tab/>
        <w:t>A vizsgázó a megoldásokat kizárólag a biztosított feladatlapokon, valamint az Egyetem bélyegzőjének lenyomatával ellátott pótlapokon dolgozhatja ki.</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(2)</w:t>
      </w:r>
      <w:r w:rsidRPr="008D1261">
        <w:rPr>
          <w:rFonts w:ascii="Times New Roman" w:hAnsi="Times New Roman" w:cs="Times New Roman"/>
          <w:color w:val="auto"/>
        </w:rPr>
        <w:tab/>
        <w:t xml:space="preserve">A vizsgázó – eltérő rendelkezés hiányában – kizárólag kék vagy fekete színű tintával írhatja le a megoldásokat. A vizsgázó kizárólag rajzolási feladatok esetén használhat ceruzát. Az egyébként ceruzával vagy nem fekete, kék tintával feltüntetett bejegyzéseket a javítás </w:t>
      </w:r>
      <w:proofErr w:type="gramStart"/>
      <w:r w:rsidRPr="008D1261">
        <w:rPr>
          <w:rFonts w:ascii="Times New Roman" w:hAnsi="Times New Roman" w:cs="Times New Roman"/>
          <w:color w:val="auto"/>
        </w:rPr>
        <w:t>során figyelmen</w:t>
      </w:r>
      <w:proofErr w:type="gramEnd"/>
      <w:r w:rsidRPr="008D1261">
        <w:rPr>
          <w:rFonts w:ascii="Times New Roman" w:hAnsi="Times New Roman" w:cs="Times New Roman"/>
          <w:color w:val="auto"/>
        </w:rPr>
        <w:t xml:space="preserve"> kívül kell hagyni.</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(3)</w:t>
      </w:r>
      <w:r w:rsidRPr="008D1261">
        <w:rPr>
          <w:rFonts w:ascii="Times New Roman" w:hAnsi="Times New Roman" w:cs="Times New Roman"/>
          <w:color w:val="auto"/>
        </w:rPr>
        <w:tab/>
        <w:t>Íróeszközről a vizsgázók gondoskodnak.</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(4)</w:t>
      </w:r>
      <w:r w:rsidRPr="008D1261">
        <w:rPr>
          <w:rFonts w:ascii="Times New Roman" w:hAnsi="Times New Roman" w:cs="Times New Roman"/>
          <w:color w:val="auto"/>
        </w:rPr>
        <w:tab/>
        <w:t>A vizsgaleírásban a vizsgáztató intézmény által biztosítandó segédeszközök biztosításáról a vizsgaszervező,</w:t>
      </w:r>
      <w:r>
        <w:rPr>
          <w:rFonts w:ascii="Times New Roman" w:hAnsi="Times New Roman" w:cs="Times New Roman"/>
          <w:color w:val="auto"/>
        </w:rPr>
        <w:t xml:space="preserve"> </w:t>
      </w:r>
      <w:r w:rsidRPr="008D1261">
        <w:rPr>
          <w:rFonts w:ascii="Times New Roman" w:hAnsi="Times New Roman" w:cs="Times New Roman"/>
          <w:color w:val="auto"/>
        </w:rPr>
        <w:t>a további segédeszközök biztosításáról a vizsgázó gondoskodik.</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(5)</w:t>
      </w:r>
      <w:r w:rsidRPr="008D1261">
        <w:rPr>
          <w:rFonts w:ascii="Times New Roman" w:hAnsi="Times New Roman" w:cs="Times New Roman"/>
          <w:color w:val="auto"/>
        </w:rPr>
        <w:tab/>
        <w:t>Amennyiben a vizsgafelügyelő szabálytalanságot észlel, a vizsgázótól a feladatlapot elveszi, feltünteti rajta a szabálytalanság tényét és kizárja a vizsgázót az adott vizsgarész további megoldási lehetőségéből.</w:t>
      </w:r>
    </w:p>
    <w:p w:rsidR="009A25E2" w:rsidRPr="008D1261" w:rsidRDefault="009A25E2" w:rsidP="009A25E2">
      <w:pPr>
        <w:pStyle w:val="zskf5szablyzatparagrafus"/>
        <w:rPr>
          <w:rFonts w:ascii="Times New Roman" w:hAnsi="Times New Roman" w:cs="Times New Roman"/>
          <w:color w:val="auto"/>
        </w:rPr>
      </w:pPr>
      <w:bookmarkStart w:id="31" w:name="_Toc482913362"/>
      <w:r w:rsidRPr="008D1261">
        <w:rPr>
          <w:rFonts w:ascii="Times New Roman" w:hAnsi="Times New Roman" w:cs="Times New Roman"/>
          <w:color w:val="auto"/>
        </w:rPr>
        <w:t>16. §</w:t>
      </w:r>
      <w:bookmarkEnd w:id="31"/>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(1)</w:t>
      </w:r>
      <w:r w:rsidRPr="008D1261">
        <w:rPr>
          <w:rFonts w:ascii="Times New Roman" w:hAnsi="Times New Roman" w:cs="Times New Roman"/>
          <w:color w:val="auto"/>
        </w:rPr>
        <w:tab/>
        <w:t>Amennyiben a vizsgázó a vizsgaleírásban leírt szünet kivételével el kívánja hagyni a vizsgatermet, a kidolgozás alatt álló feladatlapot a vizsgafelügyelőnek átadja, amelyen ennek tényét a vizsgafelügyelő – a terem elhagyásának és a visszatérésnek az időpontjával együtt – feltünteti.</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(2)</w:t>
      </w:r>
      <w:r w:rsidRPr="008D1261">
        <w:rPr>
          <w:rFonts w:ascii="Times New Roman" w:hAnsi="Times New Roman" w:cs="Times New Roman"/>
          <w:color w:val="auto"/>
        </w:rPr>
        <w:tab/>
        <w:t>A vizsgaterem saját akaratból történő elhagyása nem eredményezi a rendelkezésre álló idő meghosszabbítását.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lastRenderedPageBreak/>
        <w:t>(3)</w:t>
      </w:r>
      <w:r w:rsidRPr="008D1261">
        <w:rPr>
          <w:rFonts w:ascii="Times New Roman" w:hAnsi="Times New Roman" w:cs="Times New Roman"/>
          <w:color w:val="auto"/>
        </w:rPr>
        <w:tab/>
        <w:t>A vizsgafelügyelők gondoskodnak arról, hogy a vizsgázó a terem elhagyásakor se kaphasson más személytől segítséget.</w:t>
      </w:r>
    </w:p>
    <w:p w:rsidR="009A25E2" w:rsidRPr="008D1261" w:rsidRDefault="009A25E2" w:rsidP="009A25E2">
      <w:pPr>
        <w:pStyle w:val="zskf5szablyzatparagrafus"/>
        <w:rPr>
          <w:rFonts w:ascii="Times New Roman" w:hAnsi="Times New Roman" w:cs="Times New Roman"/>
          <w:color w:val="auto"/>
        </w:rPr>
      </w:pPr>
      <w:bookmarkStart w:id="32" w:name="_Toc482913364"/>
      <w:r w:rsidRPr="008D1261">
        <w:rPr>
          <w:rFonts w:ascii="Times New Roman" w:hAnsi="Times New Roman" w:cs="Times New Roman"/>
          <w:color w:val="auto"/>
        </w:rPr>
        <w:t>17. §</w:t>
      </w:r>
      <w:bookmarkEnd w:id="32"/>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(1)</w:t>
      </w:r>
      <w:r w:rsidRPr="008D1261">
        <w:rPr>
          <w:rFonts w:ascii="Times New Roman" w:hAnsi="Times New Roman" w:cs="Times New Roman"/>
          <w:color w:val="auto"/>
        </w:rPr>
        <w:tab/>
        <w:t xml:space="preserve">A kijelölt vizsga értékelésére kijelölt </w:t>
      </w:r>
      <w:proofErr w:type="gramStart"/>
      <w:r w:rsidRPr="008D1261">
        <w:rPr>
          <w:rFonts w:ascii="Times New Roman" w:hAnsi="Times New Roman" w:cs="Times New Roman"/>
          <w:color w:val="auto"/>
        </w:rPr>
        <w:t>személy(</w:t>
      </w:r>
      <w:proofErr w:type="spellStart"/>
      <w:proofErr w:type="gramEnd"/>
      <w:r w:rsidRPr="008D1261">
        <w:rPr>
          <w:rFonts w:ascii="Times New Roman" w:hAnsi="Times New Roman" w:cs="Times New Roman"/>
          <w:color w:val="auto"/>
        </w:rPr>
        <w:t>ek</w:t>
      </w:r>
      <w:proofErr w:type="spellEnd"/>
      <w:r w:rsidRPr="008D1261">
        <w:rPr>
          <w:rFonts w:ascii="Times New Roman" w:hAnsi="Times New Roman" w:cs="Times New Roman"/>
          <w:color w:val="auto"/>
        </w:rPr>
        <w:t>)</w:t>
      </w:r>
      <w:proofErr w:type="spellStart"/>
      <w:r w:rsidRPr="008D1261">
        <w:rPr>
          <w:rFonts w:ascii="Times New Roman" w:hAnsi="Times New Roman" w:cs="Times New Roman"/>
          <w:color w:val="auto"/>
        </w:rPr>
        <w:t>nek</w:t>
      </w:r>
      <w:proofErr w:type="spellEnd"/>
      <w:r w:rsidRPr="008D1261">
        <w:rPr>
          <w:rFonts w:ascii="Times New Roman" w:hAnsi="Times New Roman" w:cs="Times New Roman"/>
          <w:color w:val="auto"/>
        </w:rPr>
        <w:t xml:space="preserve"> (továbbiakban: javító) a vizsgaszervező adja át a vizsgadolgozatokat.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(2)</w:t>
      </w:r>
      <w:r w:rsidRPr="008D1261">
        <w:rPr>
          <w:rFonts w:ascii="Times New Roman" w:hAnsi="Times New Roman" w:cs="Times New Roman"/>
          <w:color w:val="auto"/>
        </w:rPr>
        <w:tab/>
        <w:t>A javító a feladatlapot kéktől és feketétől eltérő tintával jelöli a feladatlapon a vizsgázó válaszainak helyességét vagy hibáját. A javító a javítást a javítási útmutató alapján végzi.</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(3)</w:t>
      </w:r>
      <w:r w:rsidRPr="008D1261">
        <w:rPr>
          <w:rFonts w:ascii="Times New Roman" w:hAnsi="Times New Roman" w:cs="Times New Roman"/>
          <w:color w:val="auto"/>
        </w:rPr>
        <w:tab/>
        <w:t>A javító a vizsgaszervező által meghatározott határidőig visszajuttatja a kijavított feladatlapokat a vizsgaszervezőhöz, aki ezt követően megállapítja a vizsga eredményét és azt rögzíti a kijavított dolgozatokat tartalmazó borítékon.</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(4)</w:t>
      </w:r>
      <w:r w:rsidRPr="008D1261">
        <w:rPr>
          <w:rFonts w:ascii="Times New Roman" w:hAnsi="Times New Roman" w:cs="Times New Roman"/>
          <w:color w:val="auto"/>
        </w:rPr>
        <w:tab/>
        <w:t>A kijavított dolgozatokat tartalmazó borítékon a vizsgaszervező feltünteti a vizsgázó nevét.</w:t>
      </w:r>
    </w:p>
    <w:p w:rsidR="009A25E2" w:rsidRPr="008D1261" w:rsidRDefault="009A25E2" w:rsidP="009A25E2">
      <w:pPr>
        <w:pStyle w:val="zskf5szablyzatparagrafus"/>
        <w:rPr>
          <w:rFonts w:ascii="Times New Roman" w:hAnsi="Times New Roman" w:cs="Times New Roman"/>
          <w:color w:val="auto"/>
        </w:rPr>
      </w:pPr>
      <w:bookmarkStart w:id="33" w:name="_Toc482913365"/>
      <w:r w:rsidRPr="008D1261">
        <w:rPr>
          <w:rFonts w:ascii="Times New Roman" w:hAnsi="Times New Roman" w:cs="Times New Roman"/>
          <w:color w:val="auto"/>
        </w:rPr>
        <w:t>18. §</w:t>
      </w:r>
      <w:bookmarkEnd w:id="33"/>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(1)</w:t>
      </w:r>
      <w:r w:rsidRPr="008D1261">
        <w:rPr>
          <w:rFonts w:ascii="Times New Roman" w:hAnsi="Times New Roman" w:cs="Times New Roman"/>
          <w:color w:val="auto"/>
        </w:rPr>
        <w:tab/>
        <w:t>A betekintés során a vizsga értékelésének felülvizsgálatában részt vevő személy jelenlétében a vizsgázó megtekintheti dolgozatát és annak javítását.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(2)</w:t>
      </w:r>
      <w:r w:rsidRPr="008D1261">
        <w:rPr>
          <w:rFonts w:ascii="Times New Roman" w:hAnsi="Times New Roman" w:cs="Times New Roman"/>
          <w:color w:val="auto"/>
        </w:rPr>
        <w:tab/>
        <w:t>A vizsgázó a javításról – saját költségére – másolatot vagy elektronikus felvételt készíthet.</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(3)</w:t>
      </w:r>
      <w:r w:rsidRPr="008D1261">
        <w:rPr>
          <w:rFonts w:ascii="Times New Roman" w:hAnsi="Times New Roman" w:cs="Times New Roman"/>
          <w:color w:val="auto"/>
        </w:rPr>
        <w:tab/>
        <w:t>A vizsgázó a betekintés napját követő nap 12 óráig írásban észrevételt tehet a javítással kapcsolatban, melyet a vizsga értékelésének felülvizsgálatában részt vevő személy véleményez.</w:t>
      </w:r>
    </w:p>
    <w:p w:rsidR="009A25E2" w:rsidRPr="008D1261" w:rsidRDefault="009A25E2" w:rsidP="009A25E2">
      <w:pPr>
        <w:pStyle w:val="zskf6szabalyzatbekezds"/>
        <w:rPr>
          <w:rFonts w:ascii="Times New Roman" w:hAnsi="Times New Roman" w:cs="Times New Roman"/>
          <w:color w:val="auto"/>
        </w:rPr>
      </w:pPr>
      <w:r w:rsidRPr="008D1261">
        <w:rPr>
          <w:rFonts w:ascii="Times New Roman" w:hAnsi="Times New Roman" w:cs="Times New Roman"/>
          <w:color w:val="auto"/>
        </w:rPr>
        <w:t>(4)</w:t>
      </w:r>
      <w:r w:rsidRPr="008D1261">
        <w:rPr>
          <w:rFonts w:ascii="Times New Roman" w:hAnsi="Times New Roman" w:cs="Times New Roman"/>
          <w:color w:val="auto"/>
        </w:rPr>
        <w:tab/>
        <w:t>A (3) bekezdés szerinti vélemény alapján a vizsga értékelésének módosításáról az</w:t>
      </w:r>
      <w:r>
        <w:rPr>
          <w:rFonts w:ascii="Times New Roman" w:hAnsi="Times New Roman" w:cs="Times New Roman"/>
          <w:color w:val="auto"/>
        </w:rPr>
        <w:t xml:space="preserve"> </w:t>
      </w:r>
      <w:r w:rsidRPr="008D1261">
        <w:rPr>
          <w:rFonts w:ascii="Times New Roman" w:hAnsi="Times New Roman" w:cs="Times New Roman"/>
          <w:color w:val="auto"/>
        </w:rPr>
        <w:t>FKO vezetője dönt.</w:t>
      </w:r>
    </w:p>
    <w:p w:rsidR="009A25E2" w:rsidRPr="006A1426" w:rsidRDefault="009A25E2" w:rsidP="009A25E2">
      <w:pPr>
        <w:pStyle w:val="zskf6szabalyzatbekezds"/>
        <w:rPr>
          <w:rFonts w:ascii="Times New Roman" w:hAnsi="Times New Roman" w:cs="Times New Roman"/>
          <w:color w:val="auto"/>
        </w:rPr>
      </w:pPr>
    </w:p>
    <w:p w:rsidR="009A25E2" w:rsidRPr="008D1261" w:rsidRDefault="009A25E2" w:rsidP="009A25E2">
      <w:pPr>
        <w:pStyle w:val="zskf4szabalyzatparagrafuscim"/>
        <w:rPr>
          <w:rFonts w:ascii="Times New Roman" w:hAnsi="Times New Roman" w:cs="Times New Roman"/>
          <w:color w:val="auto"/>
        </w:rPr>
      </w:pPr>
      <w:bookmarkStart w:id="34" w:name="_Toc482913366"/>
      <w:r w:rsidRPr="008D1261">
        <w:rPr>
          <w:rFonts w:ascii="Times New Roman" w:hAnsi="Times New Roman" w:cs="Times New Roman"/>
          <w:color w:val="auto"/>
        </w:rPr>
        <w:t>A gyakorlati vizsgák szabályai</w:t>
      </w:r>
      <w:bookmarkEnd w:id="34"/>
      <w:r w:rsidRPr="008D1261">
        <w:rPr>
          <w:rStyle w:val="Lbjegyzet-hivatkozs"/>
          <w:rFonts w:ascii="Times New Roman" w:hAnsi="Times New Roman"/>
          <w:color w:val="auto"/>
        </w:rPr>
        <w:footnoteReference w:id="24"/>
      </w:r>
    </w:p>
    <w:p w:rsidR="009A25E2" w:rsidRPr="008D1261" w:rsidRDefault="009A25E2" w:rsidP="009A25E2">
      <w:pPr>
        <w:pStyle w:val="zskf5szablyzatparagrafus"/>
        <w:rPr>
          <w:rFonts w:ascii="Times New Roman" w:hAnsi="Times New Roman" w:cs="Times New Roman"/>
          <w:color w:val="auto"/>
        </w:rPr>
      </w:pPr>
      <w:bookmarkStart w:id="35" w:name="_Toc482913367"/>
      <w:r w:rsidRPr="008D1261">
        <w:rPr>
          <w:rFonts w:ascii="Times New Roman" w:hAnsi="Times New Roman" w:cs="Times New Roman"/>
          <w:color w:val="auto"/>
        </w:rPr>
        <w:t>19. §</w:t>
      </w:r>
      <w:bookmarkEnd w:id="35"/>
    </w:p>
    <w:p w:rsidR="009A25E2" w:rsidRPr="008D1261" w:rsidRDefault="009A25E2" w:rsidP="009A25E2">
      <w:pPr>
        <w:pStyle w:val="paragrafus3"/>
        <w:numPr>
          <w:ilvl w:val="0"/>
          <w:numId w:val="0"/>
        </w:numPr>
        <w:ind w:left="994" w:hanging="994"/>
      </w:pPr>
      <w:r>
        <w:t xml:space="preserve">   </w:t>
      </w:r>
      <w:r w:rsidRPr="008D1261">
        <w:t>(1)  A gyakorlati vizsgákat a szóbeli vizsgára vonatkozó szabályok szerint kell megszervezni.</w:t>
      </w:r>
    </w:p>
    <w:p w:rsidR="009A25E2" w:rsidRDefault="009A25E2" w:rsidP="009A25E2">
      <w:pPr>
        <w:pStyle w:val="Cmsor2"/>
      </w:pPr>
      <w:bookmarkStart w:id="36" w:name="_Toc508223932"/>
      <w:r>
        <w:t>Mesterképzés</w:t>
      </w:r>
      <w:bookmarkEnd w:id="36"/>
    </w:p>
    <w:p w:rsidR="009A25E2" w:rsidRPr="008311DB" w:rsidRDefault="009A25E2" w:rsidP="009A25E2">
      <w:pPr>
        <w:pStyle w:val="paragrafus1"/>
        <w:numPr>
          <w:ilvl w:val="0"/>
          <w:numId w:val="0"/>
        </w:numPr>
        <w:ind w:left="3545" w:firstLine="709"/>
        <w:jc w:val="left"/>
      </w:pPr>
      <w:bookmarkStart w:id="37" w:name="_Ref453254357"/>
      <w:r>
        <w:t xml:space="preserve">20.§ </w:t>
      </w:r>
    </w:p>
    <w:bookmarkEnd w:id="37"/>
    <w:p w:rsidR="009A25E2" w:rsidRPr="00FC2D5C" w:rsidRDefault="009A25E2" w:rsidP="009A25E2">
      <w:pPr>
        <w:pStyle w:val="paragrafus2"/>
        <w:numPr>
          <w:ilvl w:val="1"/>
          <w:numId w:val="4"/>
        </w:numPr>
      </w:pPr>
      <w:r w:rsidRPr="00FC2D5C">
        <w:t>A mesterképzésre történő jelentkezés esetén a Rendelet 32-35. §-</w:t>
      </w:r>
      <w:proofErr w:type="spellStart"/>
      <w:r w:rsidRPr="00FC2D5C">
        <w:t>ában</w:t>
      </w:r>
      <w:proofErr w:type="spellEnd"/>
      <w:r w:rsidRPr="00FC2D5C">
        <w:t xml:space="preserve"> foglaltakat a </w:t>
      </w:r>
      <w:r>
        <w:t xml:space="preserve">jelen </w:t>
      </w:r>
      <w:r w:rsidRPr="006A1426">
        <w:t xml:space="preserve">szabályzat </w:t>
      </w:r>
      <w:r w:rsidRPr="00346190">
        <w:t>21</w:t>
      </w:r>
      <w:r w:rsidRPr="006A1426">
        <w:t>-</w:t>
      </w:r>
      <w:r w:rsidRPr="00346190">
        <w:t>23</w:t>
      </w:r>
      <w:r w:rsidRPr="006A1426">
        <w:t>.</w:t>
      </w:r>
      <w:r>
        <w:t xml:space="preserve"> </w:t>
      </w:r>
      <w:r w:rsidRPr="006A1426">
        <w:t>§ szerinti</w:t>
      </w:r>
      <w:r w:rsidRPr="00FC2D5C">
        <w:t xml:space="preserve"> eltérésekkel kell alkalmazni.</w:t>
      </w:r>
    </w:p>
    <w:p w:rsidR="009A25E2" w:rsidRDefault="009A25E2" w:rsidP="009A25E2">
      <w:pPr>
        <w:pStyle w:val="Cmsor2"/>
      </w:pPr>
      <w:bookmarkStart w:id="38" w:name="_Toc508223933"/>
      <w:r w:rsidRPr="008311DB">
        <w:t>Mesterszakra történő jelentkezés, illetve felvétel feltétele</w:t>
      </w:r>
      <w:bookmarkEnd w:id="38"/>
    </w:p>
    <w:p w:rsidR="009A25E2" w:rsidRPr="00026488" w:rsidRDefault="009A25E2" w:rsidP="009A25E2">
      <w:pPr>
        <w:pStyle w:val="paragrafus1"/>
        <w:numPr>
          <w:ilvl w:val="0"/>
          <w:numId w:val="0"/>
        </w:numPr>
        <w:ind w:left="3545" w:firstLine="709"/>
        <w:jc w:val="left"/>
      </w:pPr>
      <w:r>
        <w:t xml:space="preserve">21.§ </w:t>
      </w:r>
    </w:p>
    <w:p w:rsidR="009A25E2" w:rsidRPr="00026488" w:rsidRDefault="009A25E2" w:rsidP="009A25E2">
      <w:pPr>
        <w:pStyle w:val="paragrafus2"/>
      </w:pPr>
      <w:r w:rsidRPr="00026488">
        <w:rPr>
          <w:rStyle w:val="Lbjegyzet-hivatkozs"/>
        </w:rPr>
        <w:footnoteReference w:id="25"/>
      </w:r>
      <w:r w:rsidRPr="00026488">
        <w:t>Mesterszakra történő jelentkezés feltételeit a felsőoktatási szakképzések, az alap- és mesterképzések képzési és kimeneti követelményeiről szóló 18/2016. (VIII. 5.) EMMI rendelet határozza meg.</w:t>
      </w:r>
    </w:p>
    <w:p w:rsidR="009A25E2" w:rsidRPr="004151C5" w:rsidRDefault="009A25E2" w:rsidP="009A25E2">
      <w:pPr>
        <w:pStyle w:val="paragrafus2"/>
      </w:pPr>
      <w:r>
        <w:rPr>
          <w:rStyle w:val="Lbjegyzet-hivatkozs"/>
        </w:rPr>
        <w:footnoteReference w:id="26"/>
      </w:r>
      <w:r>
        <w:t xml:space="preserve"> </w:t>
      </w:r>
      <w:r w:rsidRPr="00640216">
        <w:rPr>
          <w:bCs/>
        </w:rPr>
        <w:t>A rövid ciklusú osztatlan tanárképzésre történő jelentkezés feltételeit a</w:t>
      </w:r>
      <w:r w:rsidRPr="00640216">
        <w:t xml:space="preserve"> tanári felkészítés közös követelményeiről és az egyes tanárszakok képzési és kimeneti követelményeiről szóló 8/2013. (I. 30.) EMMI rendelet </w:t>
      </w:r>
      <w:r w:rsidRPr="00640216">
        <w:rPr>
          <w:bCs/>
        </w:rPr>
        <w:t>határozza meg</w:t>
      </w:r>
      <w:r w:rsidRPr="004151C5">
        <w:t>.</w:t>
      </w:r>
    </w:p>
    <w:p w:rsidR="009A25E2" w:rsidRDefault="009A25E2" w:rsidP="009A25E2">
      <w:pPr>
        <w:pStyle w:val="Cmsor2"/>
      </w:pPr>
      <w:bookmarkStart w:id="39" w:name="_Toc508223934"/>
      <w:r w:rsidRPr="008311DB">
        <w:lastRenderedPageBreak/>
        <w:t>Kreditelismerési eljárás</w:t>
      </w:r>
      <w:bookmarkEnd w:id="39"/>
    </w:p>
    <w:p w:rsidR="009A25E2" w:rsidRPr="008311DB" w:rsidRDefault="009A25E2" w:rsidP="009A25E2">
      <w:pPr>
        <w:pStyle w:val="paragrafus1"/>
        <w:numPr>
          <w:ilvl w:val="0"/>
          <w:numId w:val="0"/>
        </w:numPr>
        <w:ind w:left="3545" w:firstLine="709"/>
        <w:jc w:val="left"/>
      </w:pPr>
      <w:r>
        <w:t>22.§</w:t>
      </w:r>
    </w:p>
    <w:p w:rsidR="009A25E2" w:rsidRPr="00FC2D5C" w:rsidRDefault="009A25E2" w:rsidP="009A25E2">
      <w:pPr>
        <w:pStyle w:val="paragrafus2"/>
        <w:numPr>
          <w:ilvl w:val="1"/>
          <w:numId w:val="5"/>
        </w:numPr>
      </w:pPr>
      <w:r>
        <w:t>H</w:t>
      </w:r>
      <w:r w:rsidRPr="00FC2D5C">
        <w:t>a a jelentkező a mesterképzési szak bemeneti követelményeit figyelembe véve nem teljes kreditértékű oklevéllel, vagy befejezetlen tanulmányokkal rendelkezik, vagy az előtanulmányi követelményt nem külön, kifejezetten e célból meghirdetett modulként teljesítette úgy kreditelismerési eljárást kell kezdeményeznie.</w:t>
      </w:r>
    </w:p>
    <w:p w:rsidR="009A25E2" w:rsidRPr="00FC2D5C" w:rsidRDefault="009A25E2" w:rsidP="009A25E2">
      <w:pPr>
        <w:pStyle w:val="paragrafus2"/>
      </w:pPr>
      <w:r>
        <w:rPr>
          <w:rStyle w:val="Lbjegyzet-hivatkozs"/>
        </w:rPr>
        <w:footnoteReference w:id="27"/>
      </w:r>
      <w:r w:rsidRPr="00FC2D5C">
        <w:t xml:space="preserve">A kredittel elismert tanulmányi teljesítményt - ha annak előfeltétele fennáll </w:t>
      </w:r>
      <w:r>
        <w:t>–</w:t>
      </w:r>
      <w:r w:rsidRPr="00FC2D5C">
        <w:t xml:space="preserve"> bármelyik felsőoktatási intézményben folytatott tanulmányok során el kell ismerni, függetlenül attól, hogy milyen felsőoktatási intézményben, milyen képzési szinten folytatott tanulmányok során szerezték azt. Az elismerés </w:t>
      </w:r>
      <w:r>
        <w:t>–</w:t>
      </w:r>
      <w:r w:rsidRPr="00FC2D5C">
        <w:t xml:space="preserve"> tantárgyi program alapján - kizárólag a kredit megállapításának alapjául szolgáló ismeretek összevetésével történik. El kell ismerni a kreditet, ha az összevetett ismeretek legalább hetvenöt százalékban megegyeznek. A tantárgyi tartalom összevetését az e célra létrehozott kreditátviteli bizottság (a továbbiakban: KÁB) végzi. A KÁB-</w:t>
      </w:r>
      <w:proofErr w:type="spellStart"/>
      <w:r w:rsidRPr="00FC2D5C">
        <w:t>nak</w:t>
      </w:r>
      <w:proofErr w:type="spellEnd"/>
      <w:r w:rsidRPr="00FC2D5C">
        <w:t xml:space="preserve"> ki kell kérnie a szakfelelős javaslatát. A KÁB a korábbi tanulmányokat és munkatapasztalatokat tanulmányi követelmény teljesítéseként elismerheti. </w:t>
      </w:r>
    </w:p>
    <w:p w:rsidR="009A25E2" w:rsidRPr="00FC2D5C" w:rsidRDefault="009A25E2" w:rsidP="009A25E2">
      <w:pPr>
        <w:pStyle w:val="paragrafus2"/>
      </w:pPr>
      <w:r>
        <w:t>Az egyetem</w:t>
      </w:r>
      <w:r w:rsidRPr="00FC2D5C">
        <w:t xml:space="preserve"> kérelemre köteles előzetes kreditátviteli eljárást lefolytatni. Az előzetes kreditátviteli eljárás során a kérelmező által teljesített, valamint a kérelem benyújtásakor folyamatban levő félév végéig várhatóan teljesítendő tanulmányi követelmények (a teljesítés feltételéhez kötött) kreditelismeréséről és egyben a felvételi feltételekben szereplő kreditek (teljesítés feltételéhez kötött) meglétéről hoz döntést a kreditátviteli bizottság. </w:t>
      </w:r>
      <w:r>
        <w:t>Az egyetem</w:t>
      </w:r>
      <w:r w:rsidRPr="00FC2D5C">
        <w:t xml:space="preserve"> a KÁB által elismert krediteket a tanulmányok tényleges megkezdésekor újabb kérelem nélkül elismertnek tekinti.</w:t>
      </w:r>
    </w:p>
    <w:p w:rsidR="009A25E2" w:rsidRPr="00411D6E" w:rsidRDefault="009A25E2" w:rsidP="009A25E2">
      <w:pPr>
        <w:pStyle w:val="paragrafus2"/>
      </w:pPr>
      <w:r>
        <w:rPr>
          <w:rStyle w:val="Lbjegyzet-hivatkozs"/>
        </w:rPr>
        <w:footnoteReference w:id="28"/>
      </w:r>
      <w:r w:rsidRPr="00806337">
        <w:t xml:space="preserve">A kreditelismerési eljárás iránti kérelmet az </w:t>
      </w:r>
      <w:r>
        <w:t>e</w:t>
      </w:r>
      <w:r w:rsidRPr="00806337">
        <w:t>gyetem honlapján közzétett formanyomtatványon a KÁB-</w:t>
      </w:r>
      <w:proofErr w:type="spellStart"/>
      <w:r w:rsidRPr="00806337">
        <w:t>nak</w:t>
      </w:r>
      <w:proofErr w:type="spellEnd"/>
      <w:r w:rsidRPr="00806337">
        <w:t xml:space="preserve"> címezve</w:t>
      </w:r>
      <w:r>
        <w:t xml:space="preserve"> az</w:t>
      </w:r>
      <w:r w:rsidRPr="00806337">
        <w:t xml:space="preserve"> </w:t>
      </w:r>
      <w:r w:rsidRPr="00BE3988">
        <w:t xml:space="preserve">Egri Campuson az Oktatási Igazgatóság </w:t>
      </w:r>
      <w:r w:rsidRPr="00380E35">
        <w:t xml:space="preserve">Felvételi és Képzésszervezési </w:t>
      </w:r>
      <w:r w:rsidRPr="006E469D">
        <w:t>Osztályára, a Gyöngyösi</w:t>
      </w:r>
      <w:r>
        <w:t xml:space="preserve"> Károly Róbert</w:t>
      </w:r>
      <w:r w:rsidRPr="006E469D">
        <w:t xml:space="preserve"> </w:t>
      </w:r>
      <w:r w:rsidRPr="00BE3988">
        <w:t xml:space="preserve">Campuson </w:t>
      </w:r>
      <w:r>
        <w:t xml:space="preserve">az oktatási irodába, a Jászberényi és a Sárospataki Comenius Campuson az oktatási csoportba </w:t>
      </w:r>
      <w:r w:rsidRPr="00806337">
        <w:t xml:space="preserve">kell benyújtani. A kérelemhez mellékelni kell az eljárási díj befizetéséről szóló hitelt érdemlő igazolást, a korábbi tanulmányokat igazoló leckekönyv teljes és hiteles másolatát, valamint a tanulmányi egységek (tantárgyak, tanegységek) megfelelő leírását. A hiányosan benyújtott kérelmeket </w:t>
      </w:r>
      <w:r>
        <w:t xml:space="preserve">az Egri Campuson a FKO vezetője, a Gyöngyösi Károly Róbert Campuson az oktatási iroda vezetője, Jászberényi és a Sárospataki Comenius Campuson az oktatási </w:t>
      </w:r>
      <w:proofErr w:type="gramStart"/>
      <w:r>
        <w:t>csoport vezetők</w:t>
      </w:r>
      <w:proofErr w:type="gramEnd"/>
      <w:r w:rsidRPr="00806337">
        <w:t xml:space="preserve"> hiánypótlásra visszaküldi</w:t>
      </w:r>
      <w:r>
        <w:t>k</w:t>
      </w:r>
      <w:r w:rsidRPr="00806337">
        <w:t xml:space="preserve"> a kérelmezőnek.</w:t>
      </w:r>
    </w:p>
    <w:p w:rsidR="009A25E2" w:rsidRPr="00411D6E" w:rsidRDefault="009A25E2" w:rsidP="009A25E2">
      <w:pPr>
        <w:pStyle w:val="paragrafus2"/>
      </w:pPr>
      <w:r>
        <w:rPr>
          <w:rStyle w:val="Lbjegyzet-hivatkozs"/>
        </w:rPr>
        <w:footnoteReference w:id="29"/>
      </w:r>
      <w:r w:rsidRPr="00411D6E">
        <w:t xml:space="preserve">A KÁB </w:t>
      </w:r>
      <w:r>
        <w:t xml:space="preserve">a szakfelelős javaslata alapján </w:t>
      </w:r>
      <w:r w:rsidRPr="00411D6E">
        <w:t>határozza meg, hogy a felsőoktatásról szóló 1993. évi törvény rendelkezései alapján kiadott bizonyítványokat, illetve okleveleket a 2006. szeptember 1-jét követően induló képzésekben milyen feltételek mellett, hány kredittel számítja be. Az ismeretek összevetését el kell végezni, függetlenül attól, hogy a hallgató a korábbi oklevél megszerzéséért folytatott tanulmányai során kreditrendszerű képzésben vagy nem kreditrendszerű képzésben vett részt.</w:t>
      </w:r>
    </w:p>
    <w:p w:rsidR="009A25E2" w:rsidRDefault="009A25E2" w:rsidP="009A25E2">
      <w:pPr>
        <w:pStyle w:val="paragrafus2"/>
      </w:pPr>
      <w:r>
        <w:rPr>
          <w:rStyle w:val="Lbjegyzet-hivatkozs"/>
        </w:rPr>
        <w:lastRenderedPageBreak/>
        <w:footnoteReference w:id="30"/>
      </w:r>
      <w:r w:rsidRPr="00411D6E">
        <w:t xml:space="preserve">A </w:t>
      </w:r>
      <w:r>
        <w:t>kérelem tárgyában</w:t>
      </w:r>
      <w:r w:rsidRPr="00411D6E">
        <w:t xml:space="preserve"> </w:t>
      </w:r>
      <w:r>
        <w:t xml:space="preserve">a KÁB </w:t>
      </w:r>
      <w:r w:rsidRPr="00411D6E">
        <w:t xml:space="preserve">határozatban </w:t>
      </w:r>
      <w:r>
        <w:t>dönt</w:t>
      </w:r>
      <w:r w:rsidRPr="00411D6E">
        <w:t>.</w:t>
      </w:r>
      <w:r>
        <w:t xml:space="preserve"> A kiadmányt az illetékes </w:t>
      </w:r>
      <w:proofErr w:type="gramStart"/>
      <w:r>
        <w:t>campus  KÁB</w:t>
      </w:r>
      <w:proofErr w:type="gramEnd"/>
      <w:r>
        <w:t xml:space="preserve"> tagja hitelesítheti.</w:t>
      </w:r>
    </w:p>
    <w:p w:rsidR="009A25E2" w:rsidRDefault="009A25E2" w:rsidP="009A25E2">
      <w:pPr>
        <w:pStyle w:val="Cmsor2"/>
      </w:pPr>
      <w:bookmarkStart w:id="40" w:name="_Toc508223935"/>
      <w:r w:rsidRPr="008311DB">
        <w:t>Pontszámítás a mesterképzésben</w:t>
      </w:r>
      <w:bookmarkEnd w:id="40"/>
    </w:p>
    <w:p w:rsidR="009A25E2" w:rsidRPr="008311DB" w:rsidRDefault="009A25E2" w:rsidP="009A25E2">
      <w:pPr>
        <w:pStyle w:val="paragrafus1"/>
        <w:numPr>
          <w:ilvl w:val="0"/>
          <w:numId w:val="0"/>
        </w:numPr>
        <w:ind w:left="3545" w:firstLine="709"/>
        <w:jc w:val="left"/>
      </w:pPr>
      <w:bookmarkStart w:id="41" w:name="_Ref453254379"/>
      <w:r>
        <w:t>23.§</w:t>
      </w:r>
    </w:p>
    <w:p w:rsidR="009A25E2" w:rsidRPr="00FC2D5C" w:rsidRDefault="009A25E2" w:rsidP="009A25E2">
      <w:pPr>
        <w:pStyle w:val="paragrafus2"/>
        <w:numPr>
          <w:ilvl w:val="1"/>
          <w:numId w:val="6"/>
        </w:numPr>
      </w:pPr>
      <w:bookmarkStart w:id="42" w:name="_Ref453254559"/>
      <w:bookmarkEnd w:id="41"/>
      <w:r w:rsidRPr="00FC2D5C">
        <w:t>A jelentkező teljesítményét felvételi pontszámmal, 100 pontos rendszerben kell értékelni.</w:t>
      </w:r>
      <w:bookmarkEnd w:id="42"/>
    </w:p>
    <w:p w:rsidR="009A25E2" w:rsidRPr="004151C5" w:rsidRDefault="009A25E2" w:rsidP="009A25E2">
      <w:pPr>
        <w:pStyle w:val="paragrafus2"/>
      </w:pPr>
      <w:r w:rsidRPr="004151C5">
        <w:t xml:space="preserve">A tanári mesterképzésre jelentkező </w:t>
      </w:r>
      <w:proofErr w:type="spellStart"/>
      <w:r w:rsidRPr="004151C5">
        <w:t>összpontszámát</w:t>
      </w:r>
      <w:proofErr w:type="spellEnd"/>
      <w:r w:rsidRPr="004151C5">
        <w:t xml:space="preserve"> – a művészetközvetítői képzési területhez tartozó tanári szakképzettségek kivételével - a motivációs felvételi beszélgetésen szerzett pontok és a korábbi főiskolai, egyetemi, alap- és mesterképzésben, önálló felsőfokú végzettség megszerzését tanúsító oklevél minősítése alapján számított pontok összegzésével és a </w:t>
      </w:r>
      <w:r>
        <w:rPr>
          <w:highlight w:val="yellow"/>
        </w:rPr>
        <w:fldChar w:fldCharType="begin"/>
      </w:r>
      <w:r>
        <w:instrText xml:space="preserve"> REF _Ref453255692 \r \h </w:instrText>
      </w:r>
      <w:r>
        <w:rPr>
          <w:highlight w:val="yellow"/>
        </w:rPr>
      </w:r>
      <w:r>
        <w:rPr>
          <w:highlight w:val="yellow"/>
        </w:rPr>
        <w:fldChar w:fldCharType="separate"/>
      </w:r>
      <w:r>
        <w:t>0</w:t>
      </w:r>
      <w:r>
        <w:rPr>
          <w:highlight w:val="yellow"/>
        </w:rPr>
        <w:fldChar w:fldCharType="end"/>
      </w:r>
      <w:r>
        <w:t>-</w:t>
      </w:r>
      <w:r w:rsidRPr="004151C5">
        <w:t>ban meghatározott többletpontok hozzáadásával kell meghatározni.</w:t>
      </w:r>
    </w:p>
    <w:p w:rsidR="009A25E2" w:rsidRPr="00FC2D5C" w:rsidRDefault="009A25E2" w:rsidP="009A25E2">
      <w:pPr>
        <w:pStyle w:val="paragrafus2"/>
      </w:pPr>
      <w:r w:rsidRPr="00FC2D5C">
        <w:t xml:space="preserve">A diszciplináris (nem tanári) mesterszakra jelentkező </w:t>
      </w:r>
      <w:proofErr w:type="spellStart"/>
      <w:r w:rsidRPr="00FC2D5C">
        <w:t>összpontszámát</w:t>
      </w:r>
      <w:proofErr w:type="spellEnd"/>
      <w:r w:rsidRPr="00FC2D5C">
        <w:t xml:space="preserve"> – a művészetközvetítői és művészeti képzési területhez tartozó szakok kivételével - a szakmai felvételi beszélgetésen </w:t>
      </w:r>
      <w:r>
        <w:t xml:space="preserve">– az agrár és a gazdaságtudományok képzési területhez tartozó </w:t>
      </w:r>
      <w:proofErr w:type="gramStart"/>
      <w:r>
        <w:t>szakokon</w:t>
      </w:r>
      <w:proofErr w:type="gramEnd"/>
      <w:r>
        <w:t xml:space="preserve"> írásbeli vizsgán is – </w:t>
      </w:r>
      <w:r w:rsidRPr="00FC2D5C">
        <w:t>szerzett pontok</w:t>
      </w:r>
      <w:r>
        <w:t>, valamint</w:t>
      </w:r>
      <w:r w:rsidRPr="00FC2D5C">
        <w:t xml:space="preserve"> a korábbi főiskolai, egyetemi, alap- és mesterképzésben, önálló felsőfokú végzettség megszerzését tanúsító oklevél minősítése alapján számított pontok összegzésével és a </w:t>
      </w:r>
      <w:r>
        <w:rPr>
          <w:highlight w:val="yellow"/>
        </w:rPr>
        <w:fldChar w:fldCharType="begin"/>
      </w:r>
      <w:r>
        <w:instrText xml:space="preserve"> REF _Ref453255692 \r \h </w:instrText>
      </w:r>
      <w:r>
        <w:rPr>
          <w:highlight w:val="yellow"/>
        </w:rPr>
      </w:r>
      <w:r>
        <w:rPr>
          <w:highlight w:val="yellow"/>
        </w:rPr>
        <w:fldChar w:fldCharType="separate"/>
      </w:r>
      <w:r>
        <w:t>0</w:t>
      </w:r>
      <w:r>
        <w:rPr>
          <w:highlight w:val="yellow"/>
        </w:rPr>
        <w:fldChar w:fldCharType="end"/>
      </w:r>
      <w:r>
        <w:t>-</w:t>
      </w:r>
      <w:r w:rsidRPr="00FC2D5C">
        <w:t>ban meghatározott többletpontok hozzáadásával kell meghatározni.</w:t>
      </w:r>
    </w:p>
    <w:p w:rsidR="009A25E2" w:rsidRPr="00FC2D5C" w:rsidRDefault="009A25E2" w:rsidP="009A25E2">
      <w:pPr>
        <w:pStyle w:val="paragrafus2"/>
      </w:pPr>
      <w:r w:rsidRPr="00FC2D5C">
        <w:t xml:space="preserve">A művészetközvetítői és művészeti képzési területhez tartozó szakokon a jelentkezők gyakorlati vizsgát tesznek. Az </w:t>
      </w:r>
      <w:proofErr w:type="spellStart"/>
      <w:r w:rsidRPr="00FC2D5C">
        <w:t>összpontszámot</w:t>
      </w:r>
      <w:proofErr w:type="spellEnd"/>
      <w:r w:rsidRPr="00FC2D5C">
        <w:t xml:space="preserve"> a felvételi vizsgán szerezhető pontok és a </w:t>
      </w:r>
      <w:r>
        <w:rPr>
          <w:highlight w:val="yellow"/>
        </w:rPr>
        <w:fldChar w:fldCharType="begin"/>
      </w:r>
      <w:r>
        <w:instrText xml:space="preserve"> REF _Ref453255692 \r \h </w:instrText>
      </w:r>
      <w:r>
        <w:rPr>
          <w:highlight w:val="yellow"/>
        </w:rPr>
      </w:r>
      <w:r>
        <w:rPr>
          <w:highlight w:val="yellow"/>
        </w:rPr>
        <w:fldChar w:fldCharType="separate"/>
      </w:r>
      <w:r>
        <w:t>0</w:t>
      </w:r>
      <w:r>
        <w:rPr>
          <w:highlight w:val="yellow"/>
        </w:rPr>
        <w:fldChar w:fldCharType="end"/>
      </w:r>
      <w:r>
        <w:t>-</w:t>
      </w:r>
      <w:r w:rsidRPr="00FC2D5C">
        <w:t>ban meghatározott többletpontok összegzésével kell meghatározni.</w:t>
      </w:r>
    </w:p>
    <w:p w:rsidR="009A25E2" w:rsidRDefault="009A25E2" w:rsidP="009A25E2">
      <w:pPr>
        <w:pStyle w:val="paragrafus2"/>
      </w:pPr>
      <w:r w:rsidRPr="004151C5">
        <w:t>A felvételi eljárásban – a művészet</w:t>
      </w:r>
      <w:r>
        <w:t>közvetítő</w:t>
      </w:r>
      <w:r w:rsidRPr="004151C5">
        <w:t xml:space="preserve"> képzési területhez tartozó tanári szakképzettségek kivételével - a jelentkező összesen</w:t>
      </w:r>
      <w:r>
        <w:t>:</w:t>
      </w:r>
    </w:p>
    <w:p w:rsidR="009A25E2" w:rsidRDefault="009A25E2" w:rsidP="009A25E2">
      <w:pPr>
        <w:pStyle w:val="paragrafus3"/>
      </w:pPr>
      <w:bookmarkStart w:id="43" w:name="_Ref453254461"/>
      <w:r>
        <w:rPr>
          <w:rStyle w:val="Lbjegyzet-hivatkozs"/>
        </w:rPr>
        <w:footnoteReference w:id="31"/>
      </w:r>
      <w:r w:rsidRPr="00806337">
        <w:t xml:space="preserve">a motivációs és szakmai felvételi beszélgetésen, </w:t>
      </w:r>
      <w:r>
        <w:t xml:space="preserve">a szakmai készség és motivációs felmérésen, </w:t>
      </w:r>
      <w:r w:rsidRPr="00806337">
        <w:t>illetve írásbeli vizsgán összesen maximum 50 pontot,</w:t>
      </w:r>
      <w:bookmarkEnd w:id="43"/>
    </w:p>
    <w:p w:rsidR="009A25E2" w:rsidRDefault="009A25E2" w:rsidP="009A25E2">
      <w:pPr>
        <w:pStyle w:val="paragrafus3"/>
      </w:pPr>
      <w:r w:rsidRPr="004151C5">
        <w:t>a korábbi főiskolai, egyetemi, alap- és mesterképzésben, önálló felsőfokú végzettség megszerzését tanúsító oklevél minősítése alapján maximum 40 pontot</w:t>
      </w:r>
      <w:r w:rsidRPr="00C8725D">
        <w:t xml:space="preserve"> (oklevél minősítése×8),</w:t>
      </w:r>
    </w:p>
    <w:p w:rsidR="009A25E2" w:rsidRPr="00DA642A" w:rsidRDefault="009A25E2" w:rsidP="009A25E2">
      <w:pPr>
        <w:pStyle w:val="paragrafus3"/>
      </w:pPr>
      <w:r w:rsidRPr="006A1426">
        <w:t>a 24.§-</w:t>
      </w:r>
      <w:proofErr w:type="spellStart"/>
      <w:r w:rsidRPr="006A1426">
        <w:t>ban</w:t>
      </w:r>
      <w:proofErr w:type="spellEnd"/>
      <w:r w:rsidRPr="00C8725D">
        <w:t xml:space="preserve"> meghatározottak alapján legfeljebb 10 többletpontot</w:t>
      </w:r>
    </w:p>
    <w:p w:rsidR="009A25E2" w:rsidRDefault="009A25E2" w:rsidP="009A25E2">
      <w:pPr>
        <w:ind w:left="993" w:hanging="426"/>
      </w:pPr>
      <w:proofErr w:type="gramStart"/>
      <w:r w:rsidRPr="00C8725D">
        <w:t>szerezhet</w:t>
      </w:r>
      <w:proofErr w:type="gramEnd"/>
      <w:r w:rsidRPr="00C8725D">
        <w:t>.</w:t>
      </w:r>
    </w:p>
    <w:p w:rsidR="009A25E2" w:rsidRDefault="009A25E2" w:rsidP="009A25E2">
      <w:pPr>
        <w:pStyle w:val="paragrafus2"/>
      </w:pPr>
      <w:r>
        <w:t xml:space="preserve">Amennyiben a mesterképzési szakon írásbeli és szóbeli felvételi vizsga is követelmény, az </w:t>
      </w:r>
      <w:r>
        <w:fldChar w:fldCharType="begin"/>
      </w:r>
      <w:r>
        <w:instrText xml:space="preserve"> REF _Ref453254461 \r \h </w:instrText>
      </w:r>
      <w:r>
        <w:fldChar w:fldCharType="separate"/>
      </w:r>
      <w:r>
        <w:t>(5</w:t>
      </w:r>
      <w:proofErr w:type="gramStart"/>
      <w:r>
        <w:t>)a</w:t>
      </w:r>
      <w:proofErr w:type="gramEnd"/>
      <w:r>
        <w:t>)</w:t>
      </w:r>
      <w:r>
        <w:fldChar w:fldCharType="end"/>
      </w:r>
      <w:r>
        <w:t xml:space="preserve"> pontjában szereplő pontszám az alábbiak szerint oszlik meg:</w:t>
      </w:r>
    </w:p>
    <w:p w:rsidR="009A25E2" w:rsidRDefault="009A25E2" w:rsidP="009A25E2">
      <w:pPr>
        <w:pStyle w:val="paragrafus3"/>
      </w:pPr>
      <w:r>
        <w:t>írásbeli vizsga maximum 30 pont,</w:t>
      </w:r>
    </w:p>
    <w:p w:rsidR="009A25E2" w:rsidRDefault="009A25E2" w:rsidP="009A25E2">
      <w:pPr>
        <w:pStyle w:val="paragrafus3"/>
      </w:pPr>
      <w:r>
        <w:t>szóbeli vizsga maximum 20 pont.</w:t>
      </w:r>
    </w:p>
    <w:p w:rsidR="009A25E2" w:rsidRDefault="009A25E2" w:rsidP="009A25E2">
      <w:pPr>
        <w:pStyle w:val="paragrafus2"/>
      </w:pPr>
      <w:r w:rsidRPr="00411D6E">
        <w:t xml:space="preserve">A </w:t>
      </w:r>
      <w:r>
        <w:t>művészet</w:t>
      </w:r>
      <w:r w:rsidRPr="00411D6E">
        <w:t xml:space="preserve"> </w:t>
      </w:r>
      <w:r w:rsidRPr="004151C5">
        <w:t xml:space="preserve">és </w:t>
      </w:r>
      <w:r>
        <w:t>művészetközvetítő</w:t>
      </w:r>
      <w:r w:rsidRPr="00411D6E">
        <w:t xml:space="preserve"> képzési területhez tartozó </w:t>
      </w:r>
      <w:proofErr w:type="gramStart"/>
      <w:r w:rsidRPr="004151C5">
        <w:t>diszciplináris</w:t>
      </w:r>
      <w:proofErr w:type="gramEnd"/>
      <w:r w:rsidRPr="004151C5">
        <w:t xml:space="preserve"> és tanár</w:t>
      </w:r>
      <w:r w:rsidRPr="00FC2D5C">
        <w:t xml:space="preserve"> szakon a jelentkező összesen</w:t>
      </w:r>
    </w:p>
    <w:p w:rsidR="009A25E2" w:rsidRPr="00FC2D5C" w:rsidRDefault="009A25E2" w:rsidP="009A25E2">
      <w:pPr>
        <w:pStyle w:val="paragrafus3"/>
      </w:pPr>
      <w:r w:rsidRPr="00FC2D5C">
        <w:t>a gyakorlati vizsgán maximum 90 pontot,</w:t>
      </w:r>
    </w:p>
    <w:p w:rsidR="009A25E2" w:rsidRPr="00FC2D5C" w:rsidRDefault="009A25E2" w:rsidP="009A25E2">
      <w:pPr>
        <w:pStyle w:val="paragrafus3"/>
      </w:pPr>
      <w:r w:rsidRPr="00FC2D5C">
        <w:t xml:space="preserve">a </w:t>
      </w:r>
      <w:r w:rsidRPr="006A1426">
        <w:t>24.§-</w:t>
      </w:r>
      <w:proofErr w:type="spellStart"/>
      <w:r w:rsidRPr="006A1426">
        <w:t>ban</w:t>
      </w:r>
      <w:proofErr w:type="spellEnd"/>
      <w:r w:rsidRPr="006A1426">
        <w:t xml:space="preserve"> meghatározottak</w:t>
      </w:r>
      <w:r w:rsidRPr="00FC2D5C">
        <w:t xml:space="preserve"> alapján legfeljebb 10 többletpontot</w:t>
      </w:r>
    </w:p>
    <w:p w:rsidR="009A25E2" w:rsidRPr="00FC2D5C" w:rsidRDefault="009A25E2" w:rsidP="009A25E2">
      <w:pPr>
        <w:ind w:left="567"/>
      </w:pPr>
      <w:proofErr w:type="gramStart"/>
      <w:r w:rsidRPr="00FC2D5C">
        <w:lastRenderedPageBreak/>
        <w:t>szerezhet</w:t>
      </w:r>
      <w:proofErr w:type="gramEnd"/>
      <w:r w:rsidRPr="00FC2D5C">
        <w:t>.</w:t>
      </w:r>
    </w:p>
    <w:p w:rsidR="009A25E2" w:rsidRPr="00FC2D5C" w:rsidRDefault="009A25E2" w:rsidP="009A25E2">
      <w:pPr>
        <w:pStyle w:val="paragrafus2"/>
      </w:pPr>
      <w:r w:rsidRPr="00FC2D5C">
        <w:t xml:space="preserve">Mesterképzésre csak az a jelentkező vehető fel, akinek a felvételi </w:t>
      </w:r>
      <w:proofErr w:type="spellStart"/>
      <w:r w:rsidRPr="00FC2D5C">
        <w:t>összpontszáma</w:t>
      </w:r>
      <w:proofErr w:type="spellEnd"/>
      <w:r w:rsidRPr="00FC2D5C">
        <w:t xml:space="preserve"> legalább 50</w:t>
      </w:r>
      <w:r>
        <w:t> </w:t>
      </w:r>
      <w:r w:rsidRPr="00FC2D5C">
        <w:t>pont.</w:t>
      </w:r>
    </w:p>
    <w:p w:rsidR="009A25E2" w:rsidRDefault="009A25E2" w:rsidP="009A25E2">
      <w:pPr>
        <w:pStyle w:val="Cmsor2"/>
      </w:pPr>
      <w:bookmarkStart w:id="44" w:name="_Toc508223936"/>
      <w:r w:rsidRPr="008311DB">
        <w:t>Többletpontok</w:t>
      </w:r>
      <w:bookmarkEnd w:id="44"/>
    </w:p>
    <w:p w:rsidR="009A25E2" w:rsidRPr="008311DB" w:rsidRDefault="009A25E2" w:rsidP="009A25E2">
      <w:pPr>
        <w:pStyle w:val="paragrafus1"/>
        <w:numPr>
          <w:ilvl w:val="0"/>
          <w:numId w:val="0"/>
        </w:numPr>
        <w:ind w:left="3545" w:firstLine="709"/>
        <w:jc w:val="left"/>
      </w:pPr>
      <w:bookmarkStart w:id="45" w:name="_Ref453255692"/>
      <w:r>
        <w:t xml:space="preserve">24.§ </w:t>
      </w:r>
    </w:p>
    <w:p w:rsidR="009A25E2" w:rsidRDefault="009A25E2" w:rsidP="009A25E2">
      <w:pPr>
        <w:pStyle w:val="paragrafus2"/>
        <w:numPr>
          <w:ilvl w:val="1"/>
          <w:numId w:val="7"/>
        </w:numPr>
      </w:pPr>
      <w:bookmarkStart w:id="46" w:name="_Ref453254602"/>
      <w:bookmarkEnd w:id="45"/>
      <w:r>
        <w:rPr>
          <w:rStyle w:val="Lbjegyzet-hivatkozs"/>
        </w:rPr>
        <w:footnoteReference w:id="32"/>
      </w:r>
      <w:r w:rsidRPr="00FC2D5C">
        <w:t>A</w:t>
      </w:r>
      <w:r w:rsidRPr="00855DE8">
        <w:t xml:space="preserve"> </w:t>
      </w:r>
      <w:r>
        <w:fldChar w:fldCharType="begin"/>
      </w:r>
      <w:r>
        <w:instrText xml:space="preserve"> REF _Ref453254559 \r \h </w:instrText>
      </w:r>
      <w:r>
        <w:fldChar w:fldCharType="separate"/>
      </w:r>
      <w:r>
        <w:t>(1)</w:t>
      </w:r>
      <w:r>
        <w:fldChar w:fldCharType="end"/>
      </w:r>
      <w:r>
        <w:t xml:space="preserve"> </w:t>
      </w:r>
      <w:r w:rsidRPr="00FC2D5C">
        <w:t>bekezdésben meghatározott 100 ponton belül a jelentkezőnek többletteljesítményért</w:t>
      </w:r>
      <w:bookmarkEnd w:id="46"/>
      <w:r>
        <w:t>:</w:t>
      </w:r>
    </w:p>
    <w:p w:rsidR="009A25E2" w:rsidRPr="00D16447" w:rsidRDefault="009A25E2" w:rsidP="009A25E2">
      <w:pPr>
        <w:pStyle w:val="paragrafus3"/>
      </w:pPr>
      <w:r w:rsidRPr="00D16447">
        <w:t>államilag elismert vagy azzal egyenértékű, magyartól eltérő idegen nyelvből tett</w:t>
      </w:r>
    </w:p>
    <w:p w:rsidR="009A25E2" w:rsidRDefault="009A25E2" w:rsidP="009A25E2">
      <w:pPr>
        <w:pStyle w:val="paragrafus3"/>
      </w:pPr>
      <w:r w:rsidRPr="00FC2D5C">
        <w:t xml:space="preserve">középfokú (B2) </w:t>
      </w:r>
      <w:proofErr w:type="gramStart"/>
      <w:r w:rsidRPr="00FC2D5C">
        <w:t>komplex</w:t>
      </w:r>
      <w:proofErr w:type="gramEnd"/>
      <w:r w:rsidRPr="00FC2D5C">
        <w:t xml:space="preserve"> típusú nyelvvizsgáért 4 pontot,</w:t>
      </w:r>
    </w:p>
    <w:p w:rsidR="009A25E2" w:rsidRDefault="009A25E2" w:rsidP="009A25E2">
      <w:pPr>
        <w:pStyle w:val="paragrafus3"/>
      </w:pPr>
      <w:r w:rsidRPr="00FC2D5C">
        <w:t xml:space="preserve">felsőfokú (C1) </w:t>
      </w:r>
      <w:proofErr w:type="gramStart"/>
      <w:r w:rsidRPr="00FC2D5C">
        <w:t>komplex</w:t>
      </w:r>
      <w:proofErr w:type="gramEnd"/>
      <w:r w:rsidRPr="00FC2D5C">
        <w:t xml:space="preserve"> típusú nyelvvizsgáért 8 pontot,</w:t>
      </w:r>
    </w:p>
    <w:p w:rsidR="009A25E2" w:rsidRDefault="009A25E2" w:rsidP="009A25E2">
      <w:pPr>
        <w:pStyle w:val="paragrafus3"/>
      </w:pPr>
      <w:r w:rsidRPr="00E14E62">
        <w:t>Egy nyelvből csak egy nyelvvizsgáért adható többletpont</w:t>
      </w:r>
    </w:p>
    <w:p w:rsidR="009A25E2" w:rsidRPr="00FC2D5C" w:rsidRDefault="009A25E2" w:rsidP="009A25E2">
      <w:pPr>
        <w:pStyle w:val="paragrafus3"/>
      </w:pPr>
      <w:r w:rsidRPr="00FC2D5C">
        <w:tab/>
        <w:t>OTDK 1</w:t>
      </w:r>
      <w:r>
        <w:t>–</w:t>
      </w:r>
      <w:r w:rsidRPr="00FC2D5C">
        <w:t>3. helyezésért 8 pontot,</w:t>
      </w:r>
    </w:p>
    <w:p w:rsidR="009A25E2" w:rsidRPr="00FC2D5C" w:rsidRDefault="009A25E2" w:rsidP="009A25E2">
      <w:pPr>
        <w:pStyle w:val="paragrafus3"/>
      </w:pPr>
      <w:r>
        <w:rPr>
          <w:rStyle w:val="Lbjegyzet-hivatkozs"/>
        </w:rPr>
        <w:footnoteReference w:id="33"/>
      </w:r>
      <w:r w:rsidRPr="00FC2D5C">
        <w:tab/>
      </w:r>
      <w:r>
        <w:t xml:space="preserve"> </w:t>
      </w:r>
      <w:r w:rsidRPr="000F07A3">
        <w:t>A Rendelet 21.§ (1) a), b) pontja szerinti esetekben elért legalább 3. helyezésért 5 többletpontot</w:t>
      </w:r>
      <w:r w:rsidRPr="00AD7ABF">
        <w:t>,</w:t>
      </w:r>
      <w:r w:rsidRPr="000F07A3">
        <w:t xml:space="preserve"> a Rendelet 21.§ (1) c) pontja szerinti esetekben elért legalább 3. helyezésért 3 többletpontot</w:t>
      </w:r>
      <w:r>
        <w:t xml:space="preserve"> ad</w:t>
      </w:r>
      <w:r w:rsidRPr="000F07A3">
        <w:t xml:space="preserve"> az egyetem</w:t>
      </w:r>
      <w:r w:rsidRPr="00FC2D5C">
        <w:t>.</w:t>
      </w:r>
    </w:p>
    <w:p w:rsidR="009A25E2" w:rsidRDefault="009A25E2" w:rsidP="009A25E2">
      <w:pPr>
        <w:pStyle w:val="paragrafus2"/>
      </w:pPr>
      <w:r>
        <w:rPr>
          <w:rStyle w:val="Lbjegyzet-hivatkozs"/>
        </w:rPr>
        <w:footnoteReference w:id="34"/>
      </w:r>
      <w:r>
        <w:rPr>
          <w:rStyle w:val="Lbjegyzet-hivatkozs"/>
        </w:rPr>
        <w:footnoteReference w:id="35"/>
      </w:r>
      <w:r w:rsidRPr="00FC2D5C">
        <w:t>Az esélyegyenlőség biztosítása érdekében</w:t>
      </w:r>
      <w:r>
        <w:t>:</w:t>
      </w:r>
    </w:p>
    <w:p w:rsidR="009A25E2" w:rsidRDefault="009A25E2" w:rsidP="009A25E2">
      <w:pPr>
        <w:pStyle w:val="paragrafus3"/>
      </w:pPr>
      <w:r w:rsidRPr="00E14E62">
        <w:t>a fogyatékossággal élő jelentkező minden jelentkezési helyén 4 többletpontra,</w:t>
      </w:r>
    </w:p>
    <w:p w:rsidR="009A25E2" w:rsidRDefault="009A25E2" w:rsidP="009A25E2">
      <w:pPr>
        <w:pStyle w:val="paragrafus3"/>
      </w:pPr>
      <w:r w:rsidRPr="00E14E62">
        <w:t xml:space="preserve">az a jelentkező, aki a jelentkezési határidő és a felvételi döntés közötti időszakban gyermeke gondozása céljából fizetés nélküli szabadságon lévő, </w:t>
      </w:r>
      <w:r w:rsidRPr="008D1261">
        <w:t xml:space="preserve">csecsemőgondozási díjban, gyermekgondozást segítő ellátásban </w:t>
      </w:r>
      <w:r w:rsidRPr="00E14E62">
        <w:t>gyermeknevelési támogatásban vagy gyermekgondozási díjban részesül, gyermeke gondozása céljából fizetés nélküli szabadságon lévő, csecsemőgondozási díjban, gyermekgondozást segítő ellátásban, gyermeknevelési támogatásban vagy gyermekgondozási díjban részesül, és ezt ezen időszakban kiállított igazolással bizonyítja, minden jelentkezési helyén 4 többletpontra</w:t>
      </w:r>
      <w:r>
        <w:t xml:space="preserve">, </w:t>
      </w:r>
    </w:p>
    <w:p w:rsidR="009A25E2" w:rsidRPr="00E14E62" w:rsidRDefault="009A25E2" w:rsidP="009A25E2">
      <w:pPr>
        <w:pStyle w:val="paragrafus3"/>
      </w:pPr>
      <w:r>
        <w:t>a hátrányos helyzetű jelentkező minden jelentkezési helyén 1 többletpontra</w:t>
      </w:r>
    </w:p>
    <w:p w:rsidR="009A25E2" w:rsidRPr="00FC2D5C" w:rsidRDefault="009A25E2" w:rsidP="009A25E2">
      <w:pPr>
        <w:ind w:left="900" w:hanging="360"/>
      </w:pPr>
      <w:proofErr w:type="gramStart"/>
      <w:r w:rsidRPr="00FC2D5C">
        <w:t>jogosult</w:t>
      </w:r>
      <w:proofErr w:type="gramEnd"/>
      <w:r w:rsidRPr="00FC2D5C">
        <w:t>.</w:t>
      </w:r>
    </w:p>
    <w:p w:rsidR="009A25E2" w:rsidRDefault="009A25E2" w:rsidP="009A25E2">
      <w:pPr>
        <w:pStyle w:val="paragrafus2"/>
      </w:pPr>
      <w:bookmarkStart w:id="47" w:name="_Ref453254632"/>
      <w:r>
        <w:rPr>
          <w:rStyle w:val="Lbjegyzet-hivatkozs"/>
        </w:rPr>
        <w:footnoteReference w:id="36"/>
      </w:r>
      <w:r w:rsidRPr="000F07A3">
        <w:t>A jogosultságot (a kedvezményre jogosító feltételek meglétét a Rendelet 12. § (4) bekezdésében meghatározott határidőig kell igazolni</w:t>
      </w:r>
    </w:p>
    <w:p w:rsidR="009A25E2" w:rsidRPr="00FC2D5C" w:rsidRDefault="009A25E2" w:rsidP="009A25E2">
      <w:pPr>
        <w:pStyle w:val="paragrafus2"/>
      </w:pPr>
      <w:r w:rsidRPr="00FC2D5C">
        <w:t>Az esélyegyenlőség biztosítására maximum 4 többletpontot adható akkor is, ha a jelentkező több jogcímen jogosult többletpontra.</w:t>
      </w:r>
      <w:bookmarkEnd w:id="47"/>
    </w:p>
    <w:p w:rsidR="009A25E2" w:rsidRPr="00FC2D5C" w:rsidRDefault="009A25E2" w:rsidP="009A25E2">
      <w:pPr>
        <w:pStyle w:val="paragrafus2"/>
      </w:pPr>
      <w:r w:rsidRPr="00FC2D5C">
        <w:t xml:space="preserve">Az </w:t>
      </w:r>
      <w:r>
        <w:fldChar w:fldCharType="begin"/>
      </w:r>
      <w:r>
        <w:instrText xml:space="preserve"> REF _Ref453254602 \r \h </w:instrText>
      </w:r>
      <w:r>
        <w:fldChar w:fldCharType="separate"/>
      </w:r>
      <w:r>
        <w:t>(1)</w:t>
      </w:r>
      <w:r>
        <w:fldChar w:fldCharType="end"/>
      </w:r>
      <w:r w:rsidRPr="00FC2D5C">
        <w:t>-</w:t>
      </w:r>
      <w:r>
        <w:fldChar w:fldCharType="begin"/>
      </w:r>
      <w:r>
        <w:instrText xml:space="preserve"> REF _Ref453254632 \r \h </w:instrText>
      </w:r>
      <w:r>
        <w:fldChar w:fldCharType="separate"/>
      </w:r>
      <w:r>
        <w:t>(3)</w:t>
      </w:r>
      <w:r>
        <w:fldChar w:fldCharType="end"/>
      </w:r>
      <w:r>
        <w:t xml:space="preserve"> </w:t>
      </w:r>
      <w:r w:rsidRPr="00FC2D5C">
        <w:t>bekezdés alapján adható többletpontok összege legfeljebb 10 pont lehet. A jelentkező abban az esetben is csak 10 pontra jogosult, ha a különböző jogcímek alapján elért többletpontjainak összege ezt meghaladná.</w:t>
      </w:r>
    </w:p>
    <w:p w:rsidR="009A25E2" w:rsidRDefault="009A25E2" w:rsidP="009A25E2">
      <w:pPr>
        <w:pStyle w:val="Cmsor2"/>
      </w:pPr>
      <w:bookmarkStart w:id="48" w:name="_Toc508223937"/>
      <w:r w:rsidRPr="008311DB">
        <w:lastRenderedPageBreak/>
        <w:t>Esélyegyenlőség biztosítása</w:t>
      </w:r>
      <w:bookmarkEnd w:id="48"/>
    </w:p>
    <w:p w:rsidR="009A25E2" w:rsidRPr="008311DB" w:rsidRDefault="009A25E2" w:rsidP="009A25E2">
      <w:pPr>
        <w:pStyle w:val="paragrafus1"/>
        <w:numPr>
          <w:ilvl w:val="0"/>
          <w:numId w:val="0"/>
        </w:numPr>
        <w:ind w:left="3545" w:firstLine="709"/>
        <w:jc w:val="left"/>
      </w:pPr>
      <w:r>
        <w:t>25.§</w:t>
      </w:r>
    </w:p>
    <w:p w:rsidR="009A25E2" w:rsidRPr="00FC2D5C" w:rsidRDefault="009A25E2" w:rsidP="009A25E2">
      <w:pPr>
        <w:pStyle w:val="paragrafus2"/>
        <w:numPr>
          <w:ilvl w:val="1"/>
          <w:numId w:val="8"/>
        </w:numPr>
      </w:pPr>
      <w:r w:rsidRPr="00FC2D5C">
        <w:t>Az esélyegyenlőség biztosítása érdekében a Rendelet 24.§-</w:t>
      </w:r>
      <w:proofErr w:type="spellStart"/>
      <w:r w:rsidRPr="00FC2D5C">
        <w:t>ában</w:t>
      </w:r>
      <w:proofErr w:type="spellEnd"/>
      <w:r w:rsidRPr="00FC2D5C">
        <w:t xml:space="preserve"> foglaltakat kell alkalmazni.</w:t>
      </w:r>
    </w:p>
    <w:p w:rsidR="009A25E2" w:rsidRDefault="009A25E2" w:rsidP="009A25E2">
      <w:pPr>
        <w:pStyle w:val="Cmsor2"/>
      </w:pPr>
      <w:bookmarkStart w:id="49" w:name="_Toc508223938"/>
      <w:r w:rsidRPr="008311DB">
        <w:t>A fogyatékossággal élőkre vonatkozó külön rendelkezések</w:t>
      </w:r>
      <w:bookmarkEnd w:id="49"/>
    </w:p>
    <w:p w:rsidR="009A25E2" w:rsidRPr="008311DB" w:rsidRDefault="009A25E2" w:rsidP="009A25E2">
      <w:pPr>
        <w:pStyle w:val="paragrafus1"/>
        <w:numPr>
          <w:ilvl w:val="0"/>
          <w:numId w:val="0"/>
        </w:numPr>
        <w:ind w:left="3545" w:firstLine="709"/>
        <w:jc w:val="left"/>
      </w:pPr>
      <w:r>
        <w:t>26.§</w:t>
      </w:r>
    </w:p>
    <w:p w:rsidR="009A25E2" w:rsidRPr="00FC2D5C" w:rsidRDefault="009A25E2" w:rsidP="009A25E2">
      <w:pPr>
        <w:pStyle w:val="paragrafus2"/>
        <w:numPr>
          <w:ilvl w:val="0"/>
          <w:numId w:val="0"/>
        </w:numPr>
        <w:ind w:left="709" w:hanging="425"/>
      </w:pPr>
      <w:r>
        <w:t>(1) A</w:t>
      </w:r>
      <w:r w:rsidRPr="00FC2D5C">
        <w:t xml:space="preserve"> felvételi eljárás lebonyolítása során </w:t>
      </w:r>
      <w:r>
        <w:t>az egyetem</w:t>
      </w:r>
      <w:r w:rsidRPr="00FC2D5C">
        <w:t xml:space="preserve"> köteles biztosítani a fogyatékossággal élő jelentkező számára a felvételi eljárásban való részvétel feltételeit.</w:t>
      </w:r>
    </w:p>
    <w:p w:rsidR="009A25E2" w:rsidRPr="00FC2D5C" w:rsidRDefault="009A25E2" w:rsidP="009A25E2">
      <w:pPr>
        <w:pStyle w:val="paragrafus2"/>
      </w:pPr>
      <w:r w:rsidRPr="00FC2D5C">
        <w:t>A fogyatékossággal élő jelentkezőt a felvételi eljárás során ugyanazok a kedvezmények illetik meg, mint amelyek a közoktatásról</w:t>
      </w:r>
      <w:r>
        <w:t xml:space="preserve">, illetve a köznevelésről </w:t>
      </w:r>
      <w:r w:rsidRPr="00FC2D5C">
        <w:t>szóló jogszabályok alapján megillették.</w:t>
      </w:r>
    </w:p>
    <w:p w:rsidR="009A25E2" w:rsidRPr="00FC2D5C" w:rsidRDefault="009A25E2" w:rsidP="009A25E2">
      <w:pPr>
        <w:pStyle w:val="paragrafus2"/>
      </w:pPr>
      <w:r>
        <w:rPr>
          <w:rStyle w:val="Lbjegyzet-hivatkozs"/>
        </w:rPr>
        <w:footnoteReference w:id="37"/>
      </w:r>
      <w:r w:rsidRPr="00FC2D5C">
        <w:t xml:space="preserve">Amennyiben </w:t>
      </w:r>
      <w:r>
        <w:t>az egyetem</w:t>
      </w:r>
      <w:r w:rsidRPr="00FC2D5C">
        <w:t xml:space="preserve"> a felvétel feltételéül egészségügyi, pályaalkalmassági, szakmai alkalmassági követelményt</w:t>
      </w:r>
      <w:r>
        <w:t>, vagy írásbeli, illetve szóbeli vizsgát</w:t>
      </w:r>
      <w:r w:rsidRPr="00FC2D5C">
        <w:t xml:space="preserve"> határoz meg, a fogyatékossággal élő jelentkezőt </w:t>
      </w:r>
      <w:r>
        <w:t>az egyetem</w:t>
      </w:r>
      <w:r w:rsidRPr="00FC2D5C">
        <w:t xml:space="preserve"> szabályzata szerint illethetik meg kedvezmények, illetve felmentések.</w:t>
      </w:r>
    </w:p>
    <w:p w:rsidR="009A25E2" w:rsidRPr="00FC2D5C" w:rsidRDefault="009A25E2" w:rsidP="009A25E2">
      <w:pPr>
        <w:pStyle w:val="paragrafus2"/>
      </w:pPr>
      <w:r w:rsidRPr="00FC2D5C">
        <w:t>A</w:t>
      </w:r>
      <w:r>
        <w:t xml:space="preserve"> felvételi eljárás során</w:t>
      </w:r>
      <w:r w:rsidRPr="00FC2D5C">
        <w:t xml:space="preserve"> nyújtott kedvezménynek vagy </w:t>
      </w:r>
      <w:proofErr w:type="gramStart"/>
      <w:r w:rsidRPr="00FC2D5C">
        <w:t>mentesítésnek</w:t>
      </w:r>
      <w:proofErr w:type="gramEnd"/>
      <w:r w:rsidRPr="00FC2D5C">
        <w:t xml:space="preserve"> a fogyatékosság jellegéhez kell igazodnia, és nem vezethet a felvételhez szükséges alapvető tanulmányi követelmények alóli teljes felmentéshez.</w:t>
      </w:r>
    </w:p>
    <w:p w:rsidR="009A25E2" w:rsidRDefault="009A25E2" w:rsidP="009A25E2">
      <w:pPr>
        <w:pStyle w:val="Cmsor2"/>
      </w:pPr>
      <w:bookmarkStart w:id="50" w:name="_Toc508223939"/>
      <w:r>
        <w:t>Szakirányú továbbképzés</w:t>
      </w:r>
      <w:bookmarkEnd w:id="50"/>
    </w:p>
    <w:p w:rsidR="009A25E2" w:rsidRPr="008311DB" w:rsidRDefault="009A25E2" w:rsidP="009A25E2">
      <w:pPr>
        <w:pStyle w:val="paragrafus1"/>
        <w:numPr>
          <w:ilvl w:val="0"/>
          <w:numId w:val="0"/>
        </w:numPr>
        <w:ind w:left="3545" w:firstLine="709"/>
        <w:jc w:val="left"/>
      </w:pPr>
      <w:r>
        <w:t>27.§</w:t>
      </w:r>
    </w:p>
    <w:p w:rsidR="009A25E2" w:rsidRPr="00FC2D5C" w:rsidRDefault="009A25E2" w:rsidP="009A25E2">
      <w:pPr>
        <w:pStyle w:val="paragrafus2"/>
        <w:numPr>
          <w:ilvl w:val="1"/>
          <w:numId w:val="9"/>
        </w:numPr>
      </w:pPr>
      <w:r w:rsidRPr="00FC2D5C">
        <w:t>A szakirányú továbbképzésre jelentkezők tekintetében a Rendelet 36-37.§-</w:t>
      </w:r>
      <w:proofErr w:type="spellStart"/>
      <w:r w:rsidRPr="00FC2D5C">
        <w:t>ában</w:t>
      </w:r>
      <w:proofErr w:type="spellEnd"/>
      <w:r w:rsidRPr="00FC2D5C">
        <w:t xml:space="preserve"> foglaltakat a</w:t>
      </w:r>
      <w:r>
        <w:t xml:space="preserve"> jelen </w:t>
      </w:r>
      <w:r w:rsidRPr="006A1426">
        <w:t xml:space="preserve">szabályzat </w:t>
      </w:r>
      <w:r w:rsidRPr="00346190">
        <w:t>28-29.§</w:t>
      </w:r>
      <w:r w:rsidRPr="006A1426">
        <w:t xml:space="preserve"> szerinti</w:t>
      </w:r>
      <w:r>
        <w:t xml:space="preserve"> </w:t>
      </w:r>
      <w:r w:rsidRPr="00FC2D5C">
        <w:t>eltérésekkel kell alkalmazni.</w:t>
      </w:r>
    </w:p>
    <w:p w:rsidR="009A25E2" w:rsidRDefault="009A25E2" w:rsidP="009A25E2">
      <w:pPr>
        <w:pStyle w:val="Cmsor2"/>
      </w:pPr>
      <w:bookmarkStart w:id="51" w:name="_Toc508223940"/>
      <w:r w:rsidRPr="008311DB">
        <w:t>Felvételi eljárások, felvételi kérelem</w:t>
      </w:r>
      <w:bookmarkEnd w:id="51"/>
    </w:p>
    <w:p w:rsidR="009A25E2" w:rsidRPr="008311DB" w:rsidRDefault="009A25E2" w:rsidP="009A25E2">
      <w:pPr>
        <w:pStyle w:val="paragrafus1"/>
        <w:numPr>
          <w:ilvl w:val="0"/>
          <w:numId w:val="0"/>
        </w:numPr>
        <w:ind w:left="3545" w:firstLine="709"/>
        <w:jc w:val="left"/>
      </w:pPr>
      <w:bookmarkStart w:id="52" w:name="_Ref453255793"/>
      <w:r>
        <w:t>28.§</w:t>
      </w:r>
    </w:p>
    <w:p w:rsidR="009A25E2" w:rsidRPr="00FC2D5C" w:rsidRDefault="009A25E2" w:rsidP="009A25E2">
      <w:pPr>
        <w:pStyle w:val="paragrafus2"/>
        <w:numPr>
          <w:ilvl w:val="0"/>
          <w:numId w:val="0"/>
        </w:numPr>
        <w:ind w:left="709" w:hanging="425"/>
      </w:pPr>
      <w:bookmarkStart w:id="53" w:name="_Ref453254714"/>
      <w:bookmarkEnd w:id="52"/>
      <w:r>
        <w:t>(1)</w:t>
      </w:r>
      <w:r>
        <w:rPr>
          <w:rStyle w:val="Lbjegyzet-hivatkozs"/>
        </w:rPr>
        <w:footnoteReference w:id="38"/>
      </w:r>
      <w:r>
        <w:t xml:space="preserve"> A</w:t>
      </w:r>
      <w:r w:rsidRPr="00FC2D5C">
        <w:t xml:space="preserve"> szakirányú továbbképzésre történő jelentkezés határideje a képzés indítása szerinti év augusztus </w:t>
      </w:r>
      <w:r>
        <w:t>31</w:t>
      </w:r>
      <w:r w:rsidRPr="00FC2D5C">
        <w:t xml:space="preserve">. napja, a februárban induló képzés indítás esetén január </w:t>
      </w:r>
      <w:r>
        <w:t>1</w:t>
      </w:r>
      <w:r w:rsidRPr="00FC2D5C">
        <w:t>5.</w:t>
      </w:r>
      <w:bookmarkEnd w:id="53"/>
    </w:p>
    <w:p w:rsidR="009A25E2" w:rsidRPr="00FC2D5C" w:rsidRDefault="009A25E2" w:rsidP="009A25E2">
      <w:pPr>
        <w:pStyle w:val="paragrafus2"/>
      </w:pPr>
      <w:r w:rsidRPr="00FC2D5C">
        <w:t xml:space="preserve">Jelentkezni </w:t>
      </w:r>
      <w:r>
        <w:t>az egyetem</w:t>
      </w:r>
      <w:r w:rsidRPr="00FC2D5C">
        <w:t xml:space="preserve"> honlapjáról letölthető jelentkezési lapon lehet.</w:t>
      </w:r>
    </w:p>
    <w:p w:rsidR="009A25E2" w:rsidRPr="00FC2D5C" w:rsidRDefault="009A25E2" w:rsidP="009A25E2">
      <w:pPr>
        <w:pStyle w:val="paragrafus2"/>
      </w:pPr>
      <w:r>
        <w:rPr>
          <w:rStyle w:val="Lbjegyzet-hivatkozs"/>
        </w:rPr>
        <w:footnoteReference w:id="39"/>
      </w:r>
      <w:r w:rsidRPr="00FC2D5C">
        <w:t>A jelentkezési laphoz csatolni kell a szakirányú továbbképzés</w:t>
      </w:r>
      <w:r>
        <w:t xml:space="preserve">re </w:t>
      </w:r>
      <w:r w:rsidRPr="00FC2D5C">
        <w:t xml:space="preserve"> </w:t>
      </w:r>
      <w:r>
        <w:t xml:space="preserve">történő felvétel feltételeként </w:t>
      </w:r>
      <w:r w:rsidRPr="00FC2D5C">
        <w:t xml:space="preserve">előírt </w:t>
      </w:r>
      <w:proofErr w:type="gramStart"/>
      <w:r w:rsidRPr="00FC2D5C">
        <w:t>dokumentumok</w:t>
      </w:r>
      <w:proofErr w:type="gramEnd"/>
      <w:r>
        <w:t xml:space="preserve"> másolatát</w:t>
      </w:r>
      <w:r w:rsidRPr="00FC2D5C">
        <w:t>.</w:t>
      </w:r>
    </w:p>
    <w:p w:rsidR="009A25E2" w:rsidRPr="00FC2D5C" w:rsidRDefault="009A25E2" w:rsidP="009A25E2">
      <w:pPr>
        <w:pStyle w:val="paragrafus2"/>
      </w:pPr>
      <w:r>
        <w:rPr>
          <w:rStyle w:val="Lbjegyzet-hivatkozs"/>
        </w:rPr>
        <w:footnoteReference w:id="40"/>
      </w:r>
      <w:r w:rsidRPr="00FC2D5C">
        <w:t xml:space="preserve">A jelentkezési lapot a mellékletekkel együtt </w:t>
      </w:r>
      <w:r>
        <w:t>az illetékes campus</w:t>
      </w:r>
      <w:r w:rsidRPr="00FC2D5C">
        <w:t xml:space="preserve"> címére kell </w:t>
      </w:r>
      <w:r w:rsidRPr="006A1426">
        <w:t xml:space="preserve">megküldeni </w:t>
      </w:r>
      <w:r w:rsidRPr="00346190">
        <w:t>a 28.§ (1) bekezdésben</w:t>
      </w:r>
      <w:r w:rsidRPr="00FC2D5C">
        <w:t xml:space="preserve"> meghatározott ideig.</w:t>
      </w:r>
    </w:p>
    <w:p w:rsidR="009A25E2" w:rsidRDefault="009A25E2" w:rsidP="009A25E2">
      <w:pPr>
        <w:pStyle w:val="Cmsor2"/>
      </w:pPr>
      <w:bookmarkStart w:id="54" w:name="_Toc508223941"/>
      <w:r w:rsidRPr="008311DB">
        <w:lastRenderedPageBreak/>
        <w:t>A jelentkezők rangsorolása, a felvételi döntés</w:t>
      </w:r>
      <w:bookmarkEnd w:id="54"/>
    </w:p>
    <w:p w:rsidR="009A25E2" w:rsidRPr="008311DB" w:rsidRDefault="009A25E2" w:rsidP="009A25E2">
      <w:pPr>
        <w:pStyle w:val="paragrafus1"/>
        <w:numPr>
          <w:ilvl w:val="0"/>
          <w:numId w:val="0"/>
        </w:numPr>
        <w:ind w:left="3545" w:firstLine="709"/>
        <w:jc w:val="left"/>
      </w:pPr>
      <w:bookmarkStart w:id="55" w:name="_Ref453255844"/>
      <w:r>
        <w:t>29.§</w:t>
      </w:r>
    </w:p>
    <w:bookmarkEnd w:id="55"/>
    <w:p w:rsidR="009A25E2" w:rsidRDefault="009A25E2" w:rsidP="009A25E2">
      <w:pPr>
        <w:pStyle w:val="paragrafus2"/>
        <w:numPr>
          <w:ilvl w:val="1"/>
          <w:numId w:val="10"/>
        </w:numPr>
      </w:pPr>
      <w:r>
        <w:rPr>
          <w:rStyle w:val="Lbjegyzet-hivatkozs"/>
        </w:rPr>
        <w:footnoteReference w:id="41"/>
      </w:r>
      <w:r w:rsidRPr="00FC2D5C">
        <w:t>A szakirányú továbbképzésre jelentkezők</w:t>
      </w:r>
      <w:r>
        <w:t>et az egyetem</w:t>
      </w:r>
      <w:r w:rsidRPr="00FC2D5C">
        <w:t xml:space="preserve"> a jelentkezés feltételeként előírt oklevél minősítése alapján </w:t>
      </w:r>
      <w:r>
        <w:t xml:space="preserve">rangsorolja. Ebben az esetben az alábbiak szerint maximum 100 pont adható a jelentkezőknek: </w:t>
      </w:r>
    </w:p>
    <w:p w:rsidR="009A25E2" w:rsidRPr="00056F51" w:rsidRDefault="009A25E2" w:rsidP="009A25E2">
      <w:pPr>
        <w:pStyle w:val="paragrafus3"/>
        <w:tabs>
          <w:tab w:val="clear" w:pos="994"/>
          <w:tab w:val="num" w:pos="993"/>
          <w:tab w:val="left" w:pos="3261"/>
        </w:tabs>
      </w:pPr>
      <w:r>
        <w:t xml:space="preserve">jeles minősítés </w:t>
      </w:r>
      <w:r>
        <w:tab/>
        <w:t>10</w:t>
      </w:r>
      <w:r w:rsidRPr="00056F51">
        <w:t>0 pont,</w:t>
      </w:r>
    </w:p>
    <w:p w:rsidR="009A25E2" w:rsidRPr="00056F51" w:rsidRDefault="009A25E2" w:rsidP="009A25E2">
      <w:pPr>
        <w:pStyle w:val="paragrafus3"/>
        <w:tabs>
          <w:tab w:val="left" w:pos="3402"/>
        </w:tabs>
      </w:pPr>
      <w:r w:rsidRPr="00056F51">
        <w:t xml:space="preserve">jó minősítés </w:t>
      </w:r>
      <w:r w:rsidRPr="00056F51">
        <w:tab/>
      </w:r>
      <w:r>
        <w:t>8</w:t>
      </w:r>
      <w:r w:rsidRPr="00056F51">
        <w:t>0 pont,</w:t>
      </w:r>
    </w:p>
    <w:p w:rsidR="009A25E2" w:rsidRPr="00056F51" w:rsidRDefault="009A25E2" w:rsidP="009A25E2">
      <w:pPr>
        <w:pStyle w:val="paragrafus3"/>
        <w:tabs>
          <w:tab w:val="left" w:pos="3402"/>
        </w:tabs>
      </w:pPr>
      <w:r w:rsidRPr="00056F51">
        <w:t xml:space="preserve">közepes minősítés </w:t>
      </w:r>
      <w:r w:rsidRPr="00056F51">
        <w:tab/>
      </w:r>
      <w:r>
        <w:t>6</w:t>
      </w:r>
      <w:r w:rsidRPr="00056F51">
        <w:t>0 pont,</w:t>
      </w:r>
    </w:p>
    <w:p w:rsidR="009A25E2" w:rsidRPr="00056F51" w:rsidRDefault="009A25E2" w:rsidP="009A25E2">
      <w:pPr>
        <w:pStyle w:val="paragrafus3"/>
        <w:tabs>
          <w:tab w:val="left" w:pos="3402"/>
        </w:tabs>
      </w:pPr>
      <w:r w:rsidRPr="00056F51">
        <w:t xml:space="preserve">elégséges minősítés </w:t>
      </w:r>
      <w:r w:rsidRPr="00056F51">
        <w:tab/>
      </w:r>
      <w:r>
        <w:t>4</w:t>
      </w:r>
      <w:r w:rsidRPr="00056F51">
        <w:t>0 pont.</w:t>
      </w:r>
    </w:p>
    <w:p w:rsidR="009A25E2" w:rsidRPr="00FC2D5C" w:rsidRDefault="009A25E2" w:rsidP="009A25E2">
      <w:pPr>
        <w:pStyle w:val="paragrafus2"/>
        <w:numPr>
          <w:ilvl w:val="0"/>
          <w:numId w:val="0"/>
        </w:numPr>
        <w:ind w:left="425"/>
      </w:pPr>
      <w:r w:rsidRPr="00FC2D5C">
        <w:t>.</w:t>
      </w:r>
    </w:p>
    <w:p w:rsidR="009A25E2" w:rsidRDefault="009A25E2" w:rsidP="009A25E2">
      <w:pPr>
        <w:pStyle w:val="paragrafus2"/>
      </w:pPr>
      <w:r w:rsidRPr="00FC2D5C">
        <w:t xml:space="preserve">A művészetközvetítés és a </w:t>
      </w:r>
      <w:proofErr w:type="gramStart"/>
      <w:r w:rsidRPr="00FC2D5C">
        <w:t>művészet képzési</w:t>
      </w:r>
      <w:proofErr w:type="gramEnd"/>
      <w:r w:rsidRPr="00FC2D5C">
        <w:t xml:space="preserve"> területhez tartozó szakirányú továbbképzési szakokon felvételi vizsga szervezhető. A felvételi vizsgán legfeljebb 100 pont </w:t>
      </w:r>
      <w:r w:rsidRPr="00380E35">
        <w:t xml:space="preserve">szerezhető. </w:t>
      </w:r>
    </w:p>
    <w:p w:rsidR="009A25E2" w:rsidRPr="00FC2D5C" w:rsidRDefault="009A25E2" w:rsidP="009A25E2">
      <w:pPr>
        <w:pStyle w:val="paragrafus2"/>
      </w:pPr>
      <w:r w:rsidRPr="00FC2D5C">
        <w:t xml:space="preserve">A felvételről – az intézményi </w:t>
      </w:r>
      <w:proofErr w:type="gramStart"/>
      <w:r w:rsidRPr="00FC2D5C">
        <w:t>kapacitás</w:t>
      </w:r>
      <w:proofErr w:type="gramEnd"/>
      <w:r w:rsidRPr="00FC2D5C">
        <w:t xml:space="preserve"> figyelembe vételével - </w:t>
      </w:r>
      <w:r>
        <w:t>az egyetem</w:t>
      </w:r>
      <w:r w:rsidRPr="00FC2D5C">
        <w:t>i felvételi bizottság dönt.</w:t>
      </w:r>
    </w:p>
    <w:p w:rsidR="009A25E2" w:rsidRPr="00FC2D5C" w:rsidRDefault="009A25E2" w:rsidP="009A25E2">
      <w:pPr>
        <w:pStyle w:val="paragrafus2"/>
      </w:pPr>
      <w:r>
        <w:rPr>
          <w:rStyle w:val="Lbjegyzet-hivatkozs"/>
        </w:rPr>
        <w:footnoteReference w:id="42"/>
      </w:r>
      <w:r w:rsidRPr="00FC2D5C">
        <w:t>A felvételi döntést szeptember 1</w:t>
      </w:r>
      <w:r>
        <w:t>0</w:t>
      </w:r>
      <w:r w:rsidRPr="00FC2D5C">
        <w:t>-ig, a februárban induló képzés esetén február 1</w:t>
      </w:r>
      <w:r>
        <w:t>0</w:t>
      </w:r>
      <w:r w:rsidRPr="00FC2D5C">
        <w:t>-</w:t>
      </w:r>
      <w:r>
        <w:t>i</w:t>
      </w:r>
      <w:r w:rsidRPr="00FC2D5C">
        <w:t>g meg kell hozni.</w:t>
      </w:r>
    </w:p>
    <w:p w:rsidR="009A25E2" w:rsidRDefault="009A25E2" w:rsidP="009A25E2">
      <w:pPr>
        <w:pStyle w:val="paragrafus2"/>
      </w:pPr>
      <w:r>
        <w:rPr>
          <w:rStyle w:val="Lbjegyzet-hivatkozs"/>
        </w:rPr>
        <w:footnoteReference w:id="43"/>
      </w:r>
      <w:r w:rsidRPr="00FC2D5C">
        <w:t>A döntésről a jelentkezőt írásban kell értesíteni.</w:t>
      </w:r>
      <w:r>
        <w:t xml:space="preserve"> A kiadmány hitelesítője az FKO vezetője, illetve az érintett campus oktatási iroda/csoport vezetője. </w:t>
      </w:r>
    </w:p>
    <w:p w:rsidR="009A25E2" w:rsidRDefault="009A25E2" w:rsidP="009A25E2">
      <w:pPr>
        <w:pStyle w:val="Cmsor2"/>
      </w:pPr>
      <w:bookmarkStart w:id="56" w:name="_Toc508223942"/>
      <w:r w:rsidRPr="008311DB">
        <w:t>Részismereti képzés</w:t>
      </w:r>
      <w:bookmarkEnd w:id="56"/>
    </w:p>
    <w:p w:rsidR="009A25E2" w:rsidRPr="008311DB" w:rsidRDefault="009A25E2" w:rsidP="009A25E2">
      <w:pPr>
        <w:pStyle w:val="paragrafus1"/>
        <w:numPr>
          <w:ilvl w:val="0"/>
          <w:numId w:val="0"/>
        </w:numPr>
        <w:ind w:left="3545" w:firstLine="709"/>
        <w:jc w:val="left"/>
      </w:pPr>
      <w:r>
        <w:t>30.§</w:t>
      </w:r>
    </w:p>
    <w:p w:rsidR="009A25E2" w:rsidRPr="00FC2D5C" w:rsidRDefault="009A25E2" w:rsidP="009A25E2">
      <w:pPr>
        <w:pStyle w:val="paragrafus2"/>
        <w:numPr>
          <w:ilvl w:val="1"/>
          <w:numId w:val="11"/>
        </w:numPr>
      </w:pPr>
      <w:r>
        <w:t>Az egyetem</w:t>
      </w:r>
      <w:r w:rsidRPr="00FC2D5C">
        <w:t xml:space="preserve"> a vele hallgatói jogviszonyban nem álló felsőfokú végzettségű személyeket – részismereti képzés céljából – hallgatói jogviszony keretében, az intézmény bármely kurzusára, moduljára – külön felvételi eljárás nélkül – önköltséges képzésre </w:t>
      </w:r>
      <w:proofErr w:type="spellStart"/>
      <w:r w:rsidRPr="00FC2D5C">
        <w:t>felveheti</w:t>
      </w:r>
      <w:proofErr w:type="spellEnd"/>
      <w:r w:rsidRPr="00FC2D5C">
        <w:t>.</w:t>
      </w:r>
    </w:p>
    <w:p w:rsidR="009A25E2" w:rsidRPr="00FC2D5C" w:rsidRDefault="009A25E2" w:rsidP="009A25E2">
      <w:pPr>
        <w:pStyle w:val="paragrafus2"/>
      </w:pPr>
      <w:r w:rsidRPr="00FC2D5C">
        <w:t xml:space="preserve">A jelentkezés módját és annak határidejét </w:t>
      </w:r>
      <w:r>
        <w:t>az egyetem</w:t>
      </w:r>
      <w:r w:rsidRPr="00FC2D5C">
        <w:t xml:space="preserve"> a honlapján teszi közzé.</w:t>
      </w:r>
    </w:p>
    <w:p w:rsidR="009A25E2" w:rsidRDefault="009A25E2" w:rsidP="009A25E2">
      <w:pPr>
        <w:pStyle w:val="Cmsor2"/>
      </w:pPr>
      <w:bookmarkStart w:id="57" w:name="_Toc508223943"/>
      <w:r>
        <w:t>Külföldi állampolgárok számára hirdetett, idegen nyelven folyó képzésekre vonatkozó szabályok</w:t>
      </w:r>
      <w:bookmarkEnd w:id="57"/>
    </w:p>
    <w:p w:rsidR="009A25E2" w:rsidRPr="008311DB" w:rsidRDefault="009A25E2" w:rsidP="009A25E2">
      <w:pPr>
        <w:pStyle w:val="paragrafus1"/>
        <w:numPr>
          <w:ilvl w:val="0"/>
          <w:numId w:val="0"/>
        </w:numPr>
        <w:ind w:left="3545" w:firstLine="709"/>
        <w:jc w:val="left"/>
      </w:pPr>
      <w:r>
        <w:t>31.§</w:t>
      </w:r>
    </w:p>
    <w:p w:rsidR="009A25E2" w:rsidRPr="00FC2D5C" w:rsidRDefault="009A25E2" w:rsidP="009A25E2">
      <w:pPr>
        <w:pStyle w:val="paragrafus2"/>
        <w:numPr>
          <w:ilvl w:val="1"/>
          <w:numId w:val="12"/>
        </w:numPr>
      </w:pPr>
      <w:r w:rsidRPr="00FC2D5C">
        <w:t xml:space="preserve">A külföldi állampolgárok számára meghirdetett és szeptemberben indítani kívánt idegen nyelvű képzéseket </w:t>
      </w:r>
      <w:r>
        <w:t>az egyetem</w:t>
      </w:r>
      <w:r w:rsidRPr="00FC2D5C">
        <w:t xml:space="preserve"> a felvételizőknek szóló honlapon minden év január 31-ig teszi közzé.</w:t>
      </w:r>
    </w:p>
    <w:p w:rsidR="009A25E2" w:rsidRPr="00FC2D5C" w:rsidRDefault="009A25E2" w:rsidP="009A25E2">
      <w:pPr>
        <w:pStyle w:val="paragrafus2"/>
      </w:pPr>
      <w:r w:rsidRPr="00FC2D5C">
        <w:t>Az idegen nyelvű képzésre való jelentkezés feltételeit az adott szak képesítési követelménye határozza meg.</w:t>
      </w:r>
    </w:p>
    <w:p w:rsidR="009A25E2" w:rsidRPr="00FC2D5C" w:rsidRDefault="009A25E2" w:rsidP="009A25E2">
      <w:pPr>
        <w:pStyle w:val="paragrafus2"/>
      </w:pPr>
      <w:r w:rsidRPr="00FC2D5C">
        <w:t xml:space="preserve">Az angol nyelvű jelentkezési lap </w:t>
      </w:r>
      <w:r>
        <w:t xml:space="preserve">az egyetem honlapjáról </w:t>
      </w:r>
      <w:r w:rsidRPr="00FC2D5C">
        <w:t>tölthető le.</w:t>
      </w:r>
    </w:p>
    <w:p w:rsidR="009A25E2" w:rsidRDefault="009A25E2" w:rsidP="009A25E2">
      <w:pPr>
        <w:pStyle w:val="paragrafus2"/>
      </w:pPr>
      <w:r w:rsidRPr="00FC2D5C">
        <w:lastRenderedPageBreak/>
        <w:t xml:space="preserve">A jelentkezési </w:t>
      </w:r>
      <w:r>
        <w:t xml:space="preserve">laphoz csatolandó </w:t>
      </w:r>
      <w:proofErr w:type="gramStart"/>
      <w:r>
        <w:t>dokumentumok</w:t>
      </w:r>
      <w:proofErr w:type="gramEnd"/>
      <w:r>
        <w:t>:</w:t>
      </w:r>
    </w:p>
    <w:p w:rsidR="009A25E2" w:rsidRPr="00FC2D5C" w:rsidRDefault="009A25E2" w:rsidP="009A25E2">
      <w:pPr>
        <w:pStyle w:val="paragrafus3"/>
      </w:pPr>
      <w:r w:rsidRPr="00FC2D5C">
        <w:t xml:space="preserve">a jelentkezés feltételéül meghatározott iskolai végzettséget igazoló </w:t>
      </w:r>
      <w:proofErr w:type="gramStart"/>
      <w:r w:rsidRPr="00FC2D5C">
        <w:t>dokumentum</w:t>
      </w:r>
      <w:proofErr w:type="gramEnd"/>
      <w:r w:rsidRPr="00FC2D5C">
        <w:t xml:space="preserve"> hitelesített másolata és annak hitelesített angol nyelvű fordítása,</w:t>
      </w:r>
    </w:p>
    <w:p w:rsidR="009A25E2" w:rsidRPr="00FC2D5C" w:rsidRDefault="009A25E2" w:rsidP="009A25E2">
      <w:pPr>
        <w:pStyle w:val="paragrafus3"/>
      </w:pPr>
      <w:r w:rsidRPr="00FC2D5C">
        <w:t>az útlevél fényképes oldaláról készített fénymásolat,</w:t>
      </w:r>
    </w:p>
    <w:p w:rsidR="009A25E2" w:rsidRPr="00FC2D5C" w:rsidRDefault="009A25E2" w:rsidP="009A25E2">
      <w:pPr>
        <w:pStyle w:val="paragrafus3"/>
      </w:pPr>
      <w:r w:rsidRPr="00FC2D5C">
        <w:tab/>
        <w:t>születési anyakönyvi kivonat vagy egyéb személyazonosság megállapítására szolgáló okmány fénymásolata és annak hitelesített angol nyelvű fordítása,</w:t>
      </w:r>
    </w:p>
    <w:p w:rsidR="009A25E2" w:rsidRPr="00FC2D5C" w:rsidRDefault="009A25E2" w:rsidP="009A25E2">
      <w:pPr>
        <w:pStyle w:val="paragrafus3"/>
      </w:pPr>
      <w:r w:rsidRPr="00FC2D5C">
        <w:tab/>
      </w:r>
      <w:proofErr w:type="spellStart"/>
      <w:r w:rsidRPr="00FC2D5C">
        <w:t>Europass</w:t>
      </w:r>
      <w:proofErr w:type="spellEnd"/>
      <w:r w:rsidRPr="00FC2D5C">
        <w:t xml:space="preserve"> önéletrajz angol nyelven,</w:t>
      </w:r>
    </w:p>
    <w:p w:rsidR="009A25E2" w:rsidRPr="00FC2D5C" w:rsidRDefault="009A25E2" w:rsidP="009A25E2">
      <w:pPr>
        <w:pStyle w:val="paragrafus3"/>
      </w:pPr>
      <w:r w:rsidRPr="00FC2D5C">
        <w:tab/>
        <w:t xml:space="preserve">legalább középfokú (B2) </w:t>
      </w:r>
      <w:proofErr w:type="gramStart"/>
      <w:r w:rsidRPr="00FC2D5C">
        <w:t>komplex</w:t>
      </w:r>
      <w:proofErr w:type="gramEnd"/>
      <w:r w:rsidRPr="00FC2D5C">
        <w:t xml:space="preserve"> típusú nyelvvizsgának megfelelő angol nyelvtudást igazoló dokumentum hitelesített angol nyelvű másolata,</w:t>
      </w:r>
    </w:p>
    <w:p w:rsidR="009A25E2" w:rsidRPr="00FC2D5C" w:rsidRDefault="009A25E2" w:rsidP="009A25E2">
      <w:pPr>
        <w:pStyle w:val="paragrafus3"/>
      </w:pPr>
      <w:r w:rsidRPr="00FC2D5C">
        <w:tab/>
        <w:t xml:space="preserve">a felvételi eljárási díj banki átutalását igazoló </w:t>
      </w:r>
      <w:proofErr w:type="gramStart"/>
      <w:r w:rsidRPr="00FC2D5C">
        <w:t>dokumentum</w:t>
      </w:r>
      <w:proofErr w:type="gramEnd"/>
      <w:r w:rsidRPr="00FC2D5C">
        <w:t xml:space="preserve"> másolata.</w:t>
      </w:r>
    </w:p>
    <w:p w:rsidR="009A25E2" w:rsidRPr="00FC2D5C" w:rsidRDefault="009A25E2" w:rsidP="009A25E2">
      <w:pPr>
        <w:pStyle w:val="paragrafus2"/>
      </w:pPr>
      <w:r w:rsidRPr="00FC2D5C">
        <w:t xml:space="preserve">A jelentkezési lapot és a hozzá csatolt </w:t>
      </w:r>
      <w:proofErr w:type="gramStart"/>
      <w:r w:rsidRPr="00FC2D5C">
        <w:t>dokumentumokat</w:t>
      </w:r>
      <w:proofErr w:type="gramEnd"/>
      <w:r w:rsidRPr="00FC2D5C">
        <w:t xml:space="preserve"> március 25-ig elektronikusan kell beküldeni </w:t>
      </w:r>
      <w:r>
        <w:t>a</w:t>
      </w:r>
      <w:r w:rsidRPr="00FC2D5C">
        <w:t xml:space="preserve"> Nemzetközi Kapcsolatok Központ</w:t>
      </w:r>
      <w:r>
        <w:t>jába (a továbbiakban: NKK)</w:t>
      </w:r>
      <w:r w:rsidRPr="00FC2D5C">
        <w:t>.</w:t>
      </w:r>
    </w:p>
    <w:p w:rsidR="009A25E2" w:rsidRPr="00FC2D5C" w:rsidRDefault="009A25E2" w:rsidP="009A25E2">
      <w:pPr>
        <w:pStyle w:val="paragrafus2"/>
      </w:pPr>
      <w:r w:rsidRPr="00FC2D5C">
        <w:t xml:space="preserve">A hiányzó </w:t>
      </w:r>
      <w:proofErr w:type="gramStart"/>
      <w:r w:rsidRPr="00FC2D5C">
        <w:t>dokumentumok</w:t>
      </w:r>
      <w:proofErr w:type="gramEnd"/>
      <w:r w:rsidRPr="00FC2D5C">
        <w:t xml:space="preserve"> pótlására a</w:t>
      </w:r>
      <w:r>
        <w:t>z</w:t>
      </w:r>
      <w:r w:rsidRPr="00FC2D5C">
        <w:t xml:space="preserve"> </w:t>
      </w:r>
      <w:r>
        <w:t>NKK</w:t>
      </w:r>
      <w:r w:rsidRPr="00FC2D5C">
        <w:t xml:space="preserve"> április 30-ig felszólítja a jelentkezőt. A hiánypótlásra július 10-ig kerülhet sor.</w:t>
      </w:r>
    </w:p>
    <w:p w:rsidR="009A25E2" w:rsidRPr="00FC2D5C" w:rsidRDefault="009A25E2" w:rsidP="009A25E2">
      <w:pPr>
        <w:pStyle w:val="paragrafus2"/>
      </w:pPr>
      <w:r w:rsidRPr="00FC2D5C">
        <w:t>A jelentkezés díja jelentkezésenként 100 Euró.</w:t>
      </w:r>
    </w:p>
    <w:p w:rsidR="009A25E2" w:rsidRPr="00FC2D5C" w:rsidRDefault="009A25E2" w:rsidP="009A25E2">
      <w:pPr>
        <w:pStyle w:val="paragrafus2"/>
      </w:pPr>
      <w:r w:rsidRPr="00FC2D5C">
        <w:t>A jelentkezőkről a</w:t>
      </w:r>
      <w:r>
        <w:t>z</w:t>
      </w:r>
      <w:r w:rsidRPr="00FC2D5C">
        <w:t xml:space="preserve"> </w:t>
      </w:r>
      <w:r>
        <w:t>NKK</w:t>
      </w:r>
      <w:r w:rsidRPr="00FC2D5C">
        <w:t xml:space="preserve"> nyilvántartást vezet.</w:t>
      </w:r>
    </w:p>
    <w:p w:rsidR="009A25E2" w:rsidRPr="00FC2D5C" w:rsidRDefault="009A25E2" w:rsidP="009A25E2">
      <w:pPr>
        <w:pStyle w:val="paragrafus2"/>
      </w:pPr>
      <w:r w:rsidRPr="00FC2D5C">
        <w:t xml:space="preserve">A mesterképzésre jelentkezők számára </w:t>
      </w:r>
      <w:r>
        <w:t>az egyetem</w:t>
      </w:r>
      <w:r w:rsidRPr="00FC2D5C">
        <w:t xml:space="preserve"> július első hetében angol nyelvű szóbeli felvételi vizsgát szervez. A felvételi vizsga pontos idejéről és módjáról legalább két héttel a vizsga előtt a</w:t>
      </w:r>
      <w:r>
        <w:t>z</w:t>
      </w:r>
      <w:r w:rsidRPr="00FC2D5C">
        <w:t xml:space="preserve"> </w:t>
      </w:r>
      <w:r>
        <w:t>NKK</w:t>
      </w:r>
      <w:r w:rsidRPr="00FC2D5C">
        <w:t xml:space="preserve"> elektronikus úton értesítést küld a jelentkezőnek.</w:t>
      </w:r>
    </w:p>
    <w:p w:rsidR="009A25E2" w:rsidRPr="00FC2D5C" w:rsidRDefault="009A25E2" w:rsidP="009A25E2">
      <w:pPr>
        <w:pStyle w:val="paragrafus2"/>
      </w:pPr>
      <w:r w:rsidRPr="00FC2D5C">
        <w:t xml:space="preserve">A felvételi vizsga követelményeit </w:t>
      </w:r>
      <w:r>
        <w:t>az egyetem</w:t>
      </w:r>
      <w:r w:rsidRPr="00FC2D5C">
        <w:t xml:space="preserve"> a honlapján teszi közzé.</w:t>
      </w:r>
    </w:p>
    <w:p w:rsidR="009A25E2" w:rsidRPr="00FC2D5C" w:rsidRDefault="009A25E2" w:rsidP="009A25E2">
      <w:pPr>
        <w:pStyle w:val="paragrafus2"/>
      </w:pPr>
      <w:r w:rsidRPr="00FC2D5C">
        <w:t>A szóbeli felvételi vizsgán legfeljebb 100 pont szerezhető.</w:t>
      </w:r>
    </w:p>
    <w:p w:rsidR="009A25E2" w:rsidRPr="00FC2D5C" w:rsidRDefault="009A25E2" w:rsidP="009A25E2">
      <w:pPr>
        <w:pStyle w:val="paragrafus2"/>
      </w:pPr>
      <w:r w:rsidRPr="00FC2D5C">
        <w:t xml:space="preserve">A felvehető létszámot </w:t>
      </w:r>
      <w:r>
        <w:t>az egyetem</w:t>
      </w:r>
      <w:r w:rsidRPr="00FC2D5C">
        <w:t xml:space="preserve"> működési engedélyében szereplő, valamint a központi felvételi eljárásban felvett létszám alapján kell meghatározni.</w:t>
      </w:r>
    </w:p>
    <w:p w:rsidR="009A25E2" w:rsidRPr="00FC2D5C" w:rsidRDefault="009A25E2" w:rsidP="009A25E2">
      <w:pPr>
        <w:pStyle w:val="paragrafus2"/>
      </w:pPr>
      <w:r>
        <w:t>A felvételi döntésről az egyetem</w:t>
      </w:r>
      <w:r w:rsidRPr="00FC2D5C">
        <w:t xml:space="preserve"> július 31-ig elektronikusan és postai úton értesíti a jelentkezőt.</w:t>
      </w:r>
    </w:p>
    <w:p w:rsidR="009A25E2" w:rsidRPr="00FC2D5C" w:rsidRDefault="009A25E2" w:rsidP="009A25E2">
      <w:pPr>
        <w:pStyle w:val="paragrafus2"/>
      </w:pPr>
      <w:r w:rsidRPr="00FC2D5C">
        <w:t xml:space="preserve">A felvételi döntés ellen a közzétételtől számított 25 napon belül a jelentkező </w:t>
      </w:r>
      <w:r>
        <w:t>az egyetem</w:t>
      </w:r>
      <w:r w:rsidRPr="00FC2D5C">
        <w:t xml:space="preserve"> rektorához címezve fellebbezéssel élhet. A fellebbezéseket </w:t>
      </w:r>
      <w:r>
        <w:t>az egyetem</w:t>
      </w:r>
      <w:r w:rsidRPr="00FC2D5C">
        <w:t xml:space="preserve"> </w:t>
      </w:r>
      <w:r>
        <w:t>f</w:t>
      </w:r>
      <w:r w:rsidRPr="00FC2D5C">
        <w:t xml:space="preserve">elvételi </w:t>
      </w:r>
      <w:r>
        <w:t>b</w:t>
      </w:r>
      <w:r w:rsidRPr="00FC2D5C">
        <w:t>izottsága 10 napon belül elbírálja.</w:t>
      </w:r>
    </w:p>
    <w:p w:rsidR="009A25E2" w:rsidRDefault="009A25E2" w:rsidP="009A25E2">
      <w:pPr>
        <w:pStyle w:val="Cmsor2"/>
      </w:pPr>
      <w:bookmarkStart w:id="58" w:name="_Toc508223944"/>
      <w:r>
        <w:t>Eljárási díjak</w:t>
      </w:r>
      <w:bookmarkEnd w:id="58"/>
    </w:p>
    <w:p w:rsidR="009A25E2" w:rsidRPr="008311DB" w:rsidRDefault="009A25E2" w:rsidP="009A25E2">
      <w:pPr>
        <w:pStyle w:val="paragrafus1"/>
        <w:numPr>
          <w:ilvl w:val="0"/>
          <w:numId w:val="0"/>
        </w:numPr>
        <w:ind w:left="3545" w:firstLine="709"/>
        <w:jc w:val="left"/>
      </w:pPr>
      <w:r>
        <w:t>32.§</w:t>
      </w:r>
    </w:p>
    <w:p w:rsidR="009A25E2" w:rsidRPr="00FC2D5C" w:rsidRDefault="009A25E2" w:rsidP="009A25E2">
      <w:pPr>
        <w:pStyle w:val="paragrafus2"/>
        <w:numPr>
          <w:ilvl w:val="1"/>
          <w:numId w:val="13"/>
        </w:numPr>
      </w:pPr>
      <w:r w:rsidRPr="00FC2D5C">
        <w:t>A felvételi eljárási díjak esetében a Rendelet 41.-44. §-</w:t>
      </w:r>
      <w:proofErr w:type="spellStart"/>
      <w:r w:rsidRPr="00FC2D5C">
        <w:t>ában</w:t>
      </w:r>
      <w:proofErr w:type="spellEnd"/>
      <w:r w:rsidRPr="00FC2D5C">
        <w:t xml:space="preserve"> foglaltakat </w:t>
      </w:r>
      <w:r>
        <w:t>jelen szabályzat</w:t>
      </w:r>
      <w:r w:rsidRPr="00FC2D5C">
        <w:t xml:space="preserve"> </w:t>
      </w:r>
      <w:r>
        <w:t>jelen</w:t>
      </w:r>
      <w:r w:rsidRPr="00FC2D5C">
        <w:t xml:space="preserve"> §</w:t>
      </w:r>
      <w:r>
        <w:t>-a</w:t>
      </w:r>
      <w:r w:rsidRPr="00FC2D5C">
        <w:t xml:space="preserve"> szerinti eltérésekkel kell alkalmazni.</w:t>
      </w:r>
    </w:p>
    <w:p w:rsidR="009A25E2" w:rsidRPr="00FC2D5C" w:rsidRDefault="009A25E2" w:rsidP="009A25E2">
      <w:pPr>
        <w:pStyle w:val="paragrafus2"/>
      </w:pPr>
      <w:r w:rsidRPr="00FC2D5C">
        <w:t xml:space="preserve">Gyakorlati, pályaalkalmassági és nyelvi alkalmassági vizsga, valamint a mesterképzésben szervezett felvételi vizsga esetén </w:t>
      </w:r>
      <w:r>
        <w:t>az egyetem</w:t>
      </w:r>
      <w:r w:rsidRPr="00FC2D5C">
        <w:t xml:space="preserve"> a vizsga megszervezésével és lebonyolításával kapcsolatos költségei fedezésére külön eljárási díjat határoz meg, melynek mértéke jelentkezésenként legfeljebb 4000 forint lehet. A külön eljárási díj befizetésének módjáról </w:t>
      </w:r>
      <w:r>
        <w:t>az egyetem</w:t>
      </w:r>
      <w:r w:rsidRPr="00FC2D5C">
        <w:t xml:space="preserve"> a felvételi vizsgával kapcsolatos értesítésben tájékoztatja a jelentkezőt.</w:t>
      </w:r>
    </w:p>
    <w:p w:rsidR="009A25E2" w:rsidRPr="00FC2D5C" w:rsidRDefault="009A25E2" w:rsidP="009A25E2">
      <w:pPr>
        <w:pStyle w:val="paragrafus2"/>
      </w:pPr>
      <w:r w:rsidRPr="00FC2D5C">
        <w:t xml:space="preserve">Szakirányú továbbképzésre történő jelentkezés esetén </w:t>
      </w:r>
      <w:r>
        <w:t>az egyetem</w:t>
      </w:r>
      <w:r w:rsidRPr="00FC2D5C">
        <w:t xml:space="preserve"> 5000 forint intézményi eljárási díjat határoz meg. A díj befizetésének módját a jelentkezési lap tartalmazza.</w:t>
      </w:r>
    </w:p>
    <w:p w:rsidR="009A25E2" w:rsidRPr="00FC2D5C" w:rsidRDefault="009A25E2" w:rsidP="009A25E2">
      <w:pPr>
        <w:pStyle w:val="paragrafus2"/>
      </w:pPr>
      <w:r w:rsidRPr="00FC2D5C">
        <w:lastRenderedPageBreak/>
        <w:t>A felvételi eljárás kiegészítő díját az O</w:t>
      </w:r>
      <w:r>
        <w:t>ktatási Hivatal</w:t>
      </w:r>
      <w:r w:rsidRPr="00FC2D5C">
        <w:t xml:space="preserve">hoz, az intézményi díjat és a külön eljárási díjat </w:t>
      </w:r>
      <w:r>
        <w:t>az egyetem</w:t>
      </w:r>
      <w:r w:rsidRPr="00FC2D5C">
        <w:t xml:space="preserve"> számára kell befizetni.</w:t>
      </w:r>
      <w:r>
        <w:t xml:space="preserve"> A díjak befizetésének módjáról az Egri Campuson az FKO vezetője, a Gyöngyösi Károly Róbert Campuson az oktatási iroda vezetője, Jászberényi és a Sárospataki Comenius Campuson az oktatási </w:t>
      </w:r>
      <w:proofErr w:type="gramStart"/>
      <w:r>
        <w:t>csoport vezetők</w:t>
      </w:r>
      <w:proofErr w:type="gramEnd"/>
      <w:r>
        <w:t xml:space="preserve"> adnak tájékoztatást.</w:t>
      </w:r>
    </w:p>
    <w:p w:rsidR="009A25E2" w:rsidRDefault="009A25E2" w:rsidP="009A25E2">
      <w:pPr>
        <w:pStyle w:val="paragrafus2"/>
      </w:pPr>
      <w:r>
        <w:rPr>
          <w:rStyle w:val="Lbjegyzet-hivatkozs"/>
        </w:rPr>
        <w:footnoteReference w:id="44"/>
      </w:r>
      <w:r>
        <w:t>K</w:t>
      </w:r>
      <w:r w:rsidRPr="00FC2D5C">
        <w:t>reditelismerési eljárás kezdeményezése esetén 3000</w:t>
      </w:r>
      <w:r>
        <w:t xml:space="preserve"> forint</w:t>
      </w:r>
      <w:r w:rsidRPr="00FC2D5C">
        <w:t xml:space="preserve"> külön </w:t>
      </w:r>
      <w:r w:rsidRPr="006F76C2">
        <w:t xml:space="preserve">eljárási díjat kell fizetni. A külön eljárási díj befizetésének módjáról </w:t>
      </w:r>
      <w:r>
        <w:t>az Egri Campuson az FKO vezetője, a Gyöngyösi Károly Róbert Campuson, Jászberényi és a Sárospataki Comenius Campuson az oktatási iroda/</w:t>
      </w:r>
      <w:proofErr w:type="gramStart"/>
      <w:r>
        <w:t>csoport vezetők</w:t>
      </w:r>
      <w:proofErr w:type="gramEnd"/>
      <w:r w:rsidRPr="006F76C2">
        <w:t xml:space="preserve"> ad</w:t>
      </w:r>
      <w:r>
        <w:t>nak</w:t>
      </w:r>
      <w:r w:rsidRPr="00FC2D5C">
        <w:t xml:space="preserve"> tájékoztatást.</w:t>
      </w:r>
    </w:p>
    <w:p w:rsidR="009A25E2" w:rsidRDefault="009A25E2" w:rsidP="009A25E2">
      <w:pPr>
        <w:pStyle w:val="Cmsor2"/>
      </w:pPr>
      <w:bookmarkStart w:id="59" w:name="_Toc508223945"/>
      <w:r>
        <w:t>A felvételizőket megillető jogok</w:t>
      </w:r>
      <w:bookmarkEnd w:id="59"/>
    </w:p>
    <w:p w:rsidR="009A25E2" w:rsidRPr="008311DB" w:rsidRDefault="009A25E2" w:rsidP="009A25E2">
      <w:pPr>
        <w:pStyle w:val="paragrafus1"/>
        <w:numPr>
          <w:ilvl w:val="0"/>
          <w:numId w:val="0"/>
        </w:numPr>
        <w:ind w:left="3545" w:firstLine="709"/>
        <w:jc w:val="left"/>
      </w:pPr>
      <w:r>
        <w:t>33.§</w:t>
      </w:r>
    </w:p>
    <w:p w:rsidR="009A25E2" w:rsidRPr="00FC2D5C" w:rsidRDefault="009A25E2" w:rsidP="009A25E2">
      <w:pPr>
        <w:pStyle w:val="paragrafus2"/>
        <w:numPr>
          <w:ilvl w:val="1"/>
          <w:numId w:val="14"/>
        </w:numPr>
      </w:pPr>
      <w:r w:rsidRPr="00FC2D5C">
        <w:t>A gyakorlati, a pályaalkalmassági illetve a mesterképzésben szervezett felvételi vizsgabizottságok elnökei legkésőbb az aznapi vizsgák befejezésekor kötelesek ismertetni a jelentkezők által elért eredményeket.</w:t>
      </w:r>
    </w:p>
    <w:p w:rsidR="009A25E2" w:rsidRPr="00411D6E" w:rsidRDefault="009A25E2" w:rsidP="009A25E2">
      <w:pPr>
        <w:pStyle w:val="paragrafus2"/>
      </w:pPr>
      <w:r>
        <w:rPr>
          <w:rStyle w:val="Lbjegyzet-hivatkozs"/>
        </w:rPr>
        <w:footnoteReference w:id="45"/>
      </w:r>
      <w:r>
        <w:rPr>
          <w:rStyle w:val="Lbjegyzet-hivatkozs"/>
        </w:rPr>
        <w:footnoteReference w:id="46"/>
      </w:r>
      <w:r w:rsidRPr="00FC2D5C">
        <w:t xml:space="preserve">A felvételi vizsgán szerzett eredményét a jelentkező </w:t>
      </w:r>
      <w:r>
        <w:t>az egyetem</w:t>
      </w:r>
      <w:r w:rsidRPr="00FC2D5C">
        <w:t xml:space="preserve"> honlapján a felvételi azonosító segítségével megtekintheti. </w:t>
      </w:r>
      <w:r>
        <w:t>Az egyetem</w:t>
      </w:r>
      <w:r w:rsidRPr="00FC2D5C">
        <w:t xml:space="preserve"> a felvételi vizsgát tett </w:t>
      </w:r>
      <w:r w:rsidRPr="00411D6E">
        <w:t xml:space="preserve">jelentkezők eredményeit az </w:t>
      </w:r>
      <w:r w:rsidRPr="00BE3988">
        <w:t xml:space="preserve">Egri Campuson az Oktatási Igazgatóság </w:t>
      </w:r>
      <w:r w:rsidRPr="00380E35">
        <w:t xml:space="preserve">Felvételi és Képzésszervezési </w:t>
      </w:r>
      <w:r w:rsidRPr="001C570F">
        <w:t xml:space="preserve">Osztálya, a </w:t>
      </w:r>
      <w:r w:rsidRPr="00BE3988">
        <w:t>Gyöngyösi</w:t>
      </w:r>
      <w:r>
        <w:t xml:space="preserve"> Károly Róbert</w:t>
      </w:r>
      <w:r w:rsidRPr="00BE3988">
        <w:t xml:space="preserve"> Campuson </w:t>
      </w:r>
      <w:r>
        <w:t xml:space="preserve">az oktatási iroda, a Jászberényi és a Sárospataki Comenius Campuson az oktatási csoport központi </w:t>
      </w:r>
      <w:r w:rsidRPr="00411D6E">
        <w:t xml:space="preserve">hirdetőtábláján </w:t>
      </w:r>
      <w:r>
        <w:t xml:space="preserve">a vizsgát követő második munkanapon </w:t>
      </w:r>
      <w:r w:rsidRPr="00411D6E">
        <w:t>közzé teszi az adatvédelmi törvény előírása figyelembe vételével.</w:t>
      </w:r>
    </w:p>
    <w:p w:rsidR="009A25E2" w:rsidRPr="00411D6E" w:rsidRDefault="009A25E2" w:rsidP="009A25E2">
      <w:pPr>
        <w:pStyle w:val="paragrafus2"/>
      </w:pPr>
      <w:r>
        <w:rPr>
          <w:rStyle w:val="Lbjegyzet-hivatkozs"/>
        </w:rPr>
        <w:footnoteReference w:id="47"/>
      </w:r>
      <w:r>
        <w:rPr>
          <w:rStyle w:val="Lbjegyzet-hivatkozs"/>
        </w:rPr>
        <w:footnoteReference w:id="48"/>
      </w:r>
      <w:r w:rsidRPr="00411D6E">
        <w:t>A jelentkező a felvételi vizsgáztatással kapcsolatban észlelt – a vizsgaeredményét befolyásol</w:t>
      </w:r>
      <w:r>
        <w:t xml:space="preserve">ó – jogszabálysértés, illetve az FSZ </w:t>
      </w:r>
      <w:r w:rsidRPr="00411D6E">
        <w:t xml:space="preserve">megsértése miatt a pontszáma ismertetésének napját követő második munkanap végéig írásban panaszt tehet </w:t>
      </w:r>
      <w:r>
        <w:t>a Hallgatói Jogorvoslati Bizottságnál, melyet az FKO-n, illetve az értintett campus oktatási irodán/csoportnál kell benyújtani</w:t>
      </w:r>
      <w:r w:rsidRPr="00411D6E">
        <w:t xml:space="preserve">. </w:t>
      </w:r>
      <w:r>
        <w:t xml:space="preserve">A </w:t>
      </w:r>
      <w:r w:rsidRPr="00411D6E">
        <w:t xml:space="preserve">rektor az előterjesztett kérelmeket három munkanapon belül kivizsgáltatja a felvételi bizottsággal és a döntésről a jelentkezőket </w:t>
      </w:r>
      <w:r>
        <w:t>az oktatási igazgató</w:t>
      </w:r>
      <w:r w:rsidRPr="00411D6E">
        <w:t xml:space="preserve"> írásban értesíti.</w:t>
      </w:r>
    </w:p>
    <w:p w:rsidR="009A25E2" w:rsidRDefault="009A25E2" w:rsidP="009A25E2">
      <w:pPr>
        <w:pStyle w:val="Cmsor2"/>
      </w:pPr>
      <w:bookmarkStart w:id="60" w:name="_Toc508223946"/>
      <w:r w:rsidRPr="008311DB">
        <w:t>Hatályba léptető</w:t>
      </w:r>
      <w:r>
        <w:t xml:space="preserve"> rendelkezések</w:t>
      </w:r>
      <w:bookmarkEnd w:id="60"/>
    </w:p>
    <w:p w:rsidR="009A25E2" w:rsidRPr="008311DB" w:rsidRDefault="009A25E2" w:rsidP="009A25E2">
      <w:pPr>
        <w:pStyle w:val="paragrafus1"/>
        <w:numPr>
          <w:ilvl w:val="0"/>
          <w:numId w:val="0"/>
        </w:numPr>
        <w:ind w:left="3545" w:firstLine="709"/>
        <w:jc w:val="left"/>
      </w:pPr>
      <w:r>
        <w:t>34.§</w:t>
      </w:r>
    </w:p>
    <w:p w:rsidR="009A25E2" w:rsidRPr="001C570F" w:rsidRDefault="009A25E2" w:rsidP="009A25E2">
      <w:pPr>
        <w:pStyle w:val="paragrafus2"/>
        <w:numPr>
          <w:ilvl w:val="1"/>
          <w:numId w:val="15"/>
        </w:numPr>
      </w:pPr>
      <w:r>
        <w:t xml:space="preserve">Az </w:t>
      </w:r>
      <w:r>
        <w:rPr>
          <w:rStyle w:val="Lbjegyzet-hivatkozs"/>
        </w:rPr>
        <w:footnoteReference w:id="49"/>
      </w:r>
      <w:r>
        <w:t>FSZ</w:t>
      </w:r>
      <w:r w:rsidRPr="001C570F">
        <w:t xml:space="preserve"> rendelkezéseit a szabályzat hatályba lépését követően kell alkalmazni azzal, hogy az </w:t>
      </w:r>
      <w:r w:rsidRPr="007E0D1F">
        <w:t>5. § (6)</w:t>
      </w:r>
      <w:r w:rsidRPr="001C570F">
        <w:t xml:space="preserve"> bekezdését első alkalommal a 2017. évi keresztféléves felvételi eljárásban részt vevőkre kell alkalmazni.</w:t>
      </w:r>
    </w:p>
    <w:p w:rsidR="00377A3A" w:rsidRDefault="009A25E2" w:rsidP="00377A3A">
      <w:pPr>
        <w:pStyle w:val="Cmsor2"/>
      </w:pPr>
      <w:r>
        <w:br w:type="page"/>
      </w:r>
      <w:bookmarkStart w:id="61" w:name="_Toc508224196"/>
      <w:r w:rsidR="00377A3A" w:rsidRPr="00A01E2F">
        <w:lastRenderedPageBreak/>
        <w:t>2</w:t>
      </w:r>
      <w:proofErr w:type="gramStart"/>
      <w:r w:rsidR="00377A3A" w:rsidRPr="00A01E2F">
        <w:t>.  melléklet</w:t>
      </w:r>
      <w:bookmarkEnd w:id="61"/>
      <w:proofErr w:type="gramEnd"/>
    </w:p>
    <w:p w:rsidR="00377A3A" w:rsidRPr="002060FA" w:rsidRDefault="00377A3A" w:rsidP="00377A3A"/>
    <w:p w:rsidR="00377A3A" w:rsidRPr="00A01E2F" w:rsidRDefault="00377A3A" w:rsidP="00377A3A">
      <w:pPr>
        <w:jc w:val="center"/>
        <w:rPr>
          <w:b/>
          <w:sz w:val="24"/>
          <w:szCs w:val="24"/>
        </w:rPr>
      </w:pPr>
      <w:r w:rsidRPr="00A01E2F">
        <w:rPr>
          <w:b/>
          <w:sz w:val="24"/>
          <w:szCs w:val="24"/>
        </w:rPr>
        <w:t>A nem a kétszintű érettségi rendszer szerint tett tantárgyi érettségi vizsga eredményeinek átszámítása</w:t>
      </w:r>
    </w:p>
    <w:p w:rsidR="00377A3A" w:rsidRPr="002060FA" w:rsidRDefault="00377A3A" w:rsidP="00377A3A"/>
    <w:p w:rsidR="00377A3A" w:rsidRPr="002060FA" w:rsidRDefault="00377A3A" w:rsidP="00377A3A">
      <w:pPr>
        <w:tabs>
          <w:tab w:val="left" w:pos="1980"/>
        </w:tabs>
        <w:jc w:val="center"/>
      </w:pPr>
      <w:proofErr w:type="gramStart"/>
      <w:r w:rsidRPr="002060FA">
        <w:t>jeles</w:t>
      </w:r>
      <w:proofErr w:type="gramEnd"/>
      <w:r w:rsidRPr="002060FA">
        <w:t xml:space="preserve"> (5)</w:t>
      </w:r>
      <w:r w:rsidRPr="002060FA">
        <w:tab/>
        <w:t>100%,</w:t>
      </w:r>
    </w:p>
    <w:p w:rsidR="00377A3A" w:rsidRPr="002060FA" w:rsidRDefault="00377A3A" w:rsidP="00377A3A">
      <w:pPr>
        <w:tabs>
          <w:tab w:val="left" w:pos="1980"/>
        </w:tabs>
        <w:jc w:val="center"/>
      </w:pPr>
      <w:proofErr w:type="gramStart"/>
      <w:r w:rsidRPr="002060FA">
        <w:t>jó</w:t>
      </w:r>
      <w:proofErr w:type="gramEnd"/>
      <w:r w:rsidRPr="002060FA">
        <w:t xml:space="preserve"> (4)</w:t>
      </w:r>
      <w:r w:rsidRPr="002060FA">
        <w:tab/>
        <w:t>79%,</w:t>
      </w:r>
    </w:p>
    <w:p w:rsidR="00377A3A" w:rsidRPr="002060FA" w:rsidRDefault="00377A3A" w:rsidP="00377A3A">
      <w:pPr>
        <w:tabs>
          <w:tab w:val="left" w:pos="1980"/>
        </w:tabs>
        <w:jc w:val="center"/>
      </w:pPr>
      <w:proofErr w:type="gramStart"/>
      <w:r w:rsidRPr="002060FA">
        <w:t>közepes</w:t>
      </w:r>
      <w:proofErr w:type="gramEnd"/>
      <w:r w:rsidRPr="002060FA">
        <w:t xml:space="preserve"> (3)</w:t>
      </w:r>
      <w:r w:rsidRPr="002060FA">
        <w:tab/>
        <w:t>59%,</w:t>
      </w:r>
    </w:p>
    <w:p w:rsidR="00377A3A" w:rsidRPr="002060FA" w:rsidRDefault="00377A3A" w:rsidP="00377A3A">
      <w:pPr>
        <w:tabs>
          <w:tab w:val="left" w:pos="1980"/>
        </w:tabs>
        <w:jc w:val="center"/>
      </w:pPr>
      <w:proofErr w:type="gramStart"/>
      <w:r w:rsidRPr="002060FA">
        <w:t>elégséges</w:t>
      </w:r>
      <w:proofErr w:type="gramEnd"/>
      <w:r w:rsidRPr="002060FA">
        <w:t xml:space="preserve"> (2)</w:t>
      </w:r>
      <w:r w:rsidRPr="002060FA">
        <w:tab/>
        <w:t>39%.</w:t>
      </w:r>
    </w:p>
    <w:p w:rsidR="00377A3A" w:rsidRDefault="00377A3A" w:rsidP="00377A3A"/>
    <w:p w:rsidR="00377A3A" w:rsidRPr="00F0615B" w:rsidRDefault="00377A3A" w:rsidP="00377A3A">
      <w:pPr>
        <w:pStyle w:val="Cmsor2"/>
      </w:pPr>
      <w:r w:rsidRPr="00A01E2F">
        <w:br w:type="page"/>
      </w:r>
      <w:bookmarkStart w:id="62" w:name="_Toc508224197"/>
      <w:r w:rsidRPr="00A01E2F">
        <w:lastRenderedPageBreak/>
        <w:t>3. melléklet</w:t>
      </w:r>
      <w:bookmarkEnd w:id="62"/>
    </w:p>
    <w:p w:rsidR="00377A3A" w:rsidRPr="00CF2A39" w:rsidRDefault="00377A3A" w:rsidP="00377A3A">
      <w:pPr>
        <w:jc w:val="center"/>
        <w:rPr>
          <w:b/>
        </w:rPr>
      </w:pPr>
      <w:r w:rsidRPr="00F0615B">
        <w:rPr>
          <w:b/>
        </w:rPr>
        <w:t xml:space="preserve">Az egyes képzési területeken kapható többletpontok </w:t>
      </w:r>
      <w:r>
        <w:rPr>
          <w:b/>
        </w:rPr>
        <w:br/>
      </w:r>
      <w:r w:rsidRPr="00F0615B">
        <w:rPr>
          <w:b/>
        </w:rPr>
        <w:t>a 201</w:t>
      </w:r>
      <w:r>
        <w:rPr>
          <w:b/>
        </w:rPr>
        <w:t>6</w:t>
      </w:r>
      <w:r w:rsidRPr="00F0615B">
        <w:rPr>
          <w:b/>
        </w:rPr>
        <w:t>-</w:t>
      </w:r>
      <w:r>
        <w:rPr>
          <w:b/>
        </w:rPr>
        <w:t>o</w:t>
      </w:r>
      <w:r w:rsidRPr="00F0615B">
        <w:rPr>
          <w:b/>
        </w:rPr>
        <w:t>s felsőoktatási felvételi eljárás során</w:t>
      </w:r>
    </w:p>
    <w:p w:rsidR="00377A3A" w:rsidRDefault="00377A3A" w:rsidP="00377A3A">
      <w:pPr>
        <w:jc w:val="center"/>
        <w:rPr>
          <w:b/>
          <w:sz w:val="24"/>
          <w:szCs w:val="24"/>
        </w:rPr>
      </w:pPr>
    </w:p>
    <w:p w:rsidR="00377A3A" w:rsidRPr="00A01E2F" w:rsidRDefault="00377A3A" w:rsidP="00377A3A">
      <w:pPr>
        <w:jc w:val="center"/>
        <w:rPr>
          <w:b/>
          <w:sz w:val="24"/>
          <w:szCs w:val="24"/>
        </w:rPr>
      </w:pPr>
      <w:proofErr w:type="gramStart"/>
      <w:r w:rsidRPr="00A01E2F">
        <w:rPr>
          <w:b/>
          <w:sz w:val="24"/>
          <w:szCs w:val="24"/>
        </w:rPr>
        <w:t>Agrár képzési</w:t>
      </w:r>
      <w:proofErr w:type="gramEnd"/>
      <w:r w:rsidRPr="00A01E2F">
        <w:rPr>
          <w:b/>
          <w:sz w:val="24"/>
          <w:szCs w:val="24"/>
        </w:rPr>
        <w:t xml:space="preserve"> terület</w:t>
      </w:r>
    </w:p>
    <w:p w:rsidR="00377A3A" w:rsidRPr="00380E35" w:rsidRDefault="00377A3A" w:rsidP="00377A3A">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igen</w:t>
            </w:r>
          </w:p>
        </w:tc>
      </w:tr>
    </w:tbl>
    <w:p w:rsidR="00377A3A" w:rsidRDefault="00377A3A" w:rsidP="00377A3A"/>
    <w:p w:rsidR="00377A3A" w:rsidRDefault="00377A3A" w:rsidP="00377A3A"/>
    <w:p w:rsidR="00377A3A" w:rsidRDefault="00377A3A" w:rsidP="00377A3A"/>
    <w:p w:rsidR="00377A3A" w:rsidRPr="00A01E2F" w:rsidRDefault="00377A3A" w:rsidP="00377A3A">
      <w:pPr>
        <w:jc w:val="center"/>
        <w:rPr>
          <w:b/>
          <w:sz w:val="24"/>
          <w:szCs w:val="24"/>
        </w:rPr>
      </w:pPr>
      <w:r w:rsidRPr="00A01E2F">
        <w:rPr>
          <w:b/>
          <w:sz w:val="24"/>
          <w:szCs w:val="24"/>
        </w:rPr>
        <w:lastRenderedPageBreak/>
        <w:t>Bölcsészettudomány képzési terület</w:t>
      </w:r>
    </w:p>
    <w:p w:rsidR="00377A3A" w:rsidRPr="00F0615B" w:rsidRDefault="00377A3A" w:rsidP="00377A3A">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igen</w:t>
            </w:r>
          </w:p>
        </w:tc>
      </w:tr>
    </w:tbl>
    <w:p w:rsidR="00377A3A" w:rsidRPr="00F0615B" w:rsidRDefault="00377A3A" w:rsidP="00377A3A"/>
    <w:p w:rsidR="00377A3A" w:rsidRPr="00A01E2F" w:rsidRDefault="00377A3A" w:rsidP="00377A3A">
      <w:pPr>
        <w:jc w:val="center"/>
        <w:rPr>
          <w:b/>
          <w:sz w:val="24"/>
          <w:szCs w:val="24"/>
        </w:rPr>
      </w:pPr>
      <w:r w:rsidRPr="00A01E2F">
        <w:rPr>
          <w:b/>
          <w:sz w:val="24"/>
          <w:szCs w:val="24"/>
        </w:rPr>
        <w:t>Gazdaságtudományok képzési terület</w:t>
      </w:r>
    </w:p>
    <w:p w:rsidR="00377A3A" w:rsidRPr="00F0615B" w:rsidRDefault="00377A3A" w:rsidP="00377A3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lastRenderedPageBreak/>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igen</w:t>
            </w:r>
          </w:p>
        </w:tc>
      </w:tr>
    </w:tbl>
    <w:p w:rsidR="00377A3A" w:rsidRPr="00F0615B" w:rsidRDefault="00377A3A" w:rsidP="00377A3A"/>
    <w:p w:rsidR="00377A3A" w:rsidRPr="00A01E2F" w:rsidRDefault="00377A3A" w:rsidP="00377A3A">
      <w:pPr>
        <w:jc w:val="center"/>
        <w:rPr>
          <w:b/>
          <w:sz w:val="24"/>
          <w:szCs w:val="24"/>
        </w:rPr>
      </w:pPr>
      <w:proofErr w:type="gramStart"/>
      <w:r w:rsidRPr="00A01E2F">
        <w:rPr>
          <w:b/>
          <w:sz w:val="24"/>
          <w:szCs w:val="24"/>
        </w:rPr>
        <w:t>Informatika képzési</w:t>
      </w:r>
      <w:proofErr w:type="gramEnd"/>
      <w:r w:rsidRPr="00A01E2F">
        <w:rPr>
          <w:b/>
          <w:sz w:val="24"/>
          <w:szCs w:val="24"/>
        </w:rPr>
        <w:t xml:space="preserve"> terület</w:t>
      </w:r>
    </w:p>
    <w:p w:rsidR="00377A3A" w:rsidRPr="00F0615B" w:rsidRDefault="00377A3A" w:rsidP="00377A3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lastRenderedPageBreak/>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szCs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igen</w:t>
            </w:r>
          </w:p>
        </w:tc>
      </w:tr>
    </w:tbl>
    <w:p w:rsidR="00377A3A" w:rsidRPr="00F0615B" w:rsidRDefault="00377A3A" w:rsidP="00377A3A"/>
    <w:p w:rsidR="00377A3A" w:rsidRPr="00A01E2F" w:rsidRDefault="00377A3A" w:rsidP="00377A3A">
      <w:pPr>
        <w:jc w:val="center"/>
        <w:rPr>
          <w:b/>
          <w:sz w:val="24"/>
          <w:szCs w:val="24"/>
        </w:rPr>
      </w:pPr>
      <w:r w:rsidRPr="00A01E2F">
        <w:rPr>
          <w:b/>
          <w:sz w:val="24"/>
          <w:szCs w:val="24"/>
        </w:rPr>
        <w:t>Művészetközvetítés</w:t>
      </w:r>
    </w:p>
    <w:p w:rsidR="00377A3A" w:rsidRPr="00F0615B" w:rsidRDefault="00377A3A" w:rsidP="00377A3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rPr>
                <w:sz w:val="21"/>
                <w:szCs w:val="21"/>
              </w:rPr>
            </w:pPr>
            <w:r w:rsidRPr="001810BD">
              <w:rPr>
                <w:sz w:val="21"/>
                <w:szCs w:val="21"/>
              </w:rPr>
              <w:lastRenderedPageBreak/>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szCs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nem</w:t>
            </w:r>
          </w:p>
        </w:tc>
      </w:tr>
    </w:tbl>
    <w:p w:rsidR="00377A3A" w:rsidRPr="00F0615B" w:rsidRDefault="00377A3A" w:rsidP="00377A3A"/>
    <w:p w:rsidR="00377A3A" w:rsidRDefault="00377A3A" w:rsidP="00377A3A">
      <w:pPr>
        <w:jc w:val="center"/>
        <w:rPr>
          <w:b/>
          <w:sz w:val="24"/>
          <w:szCs w:val="24"/>
        </w:rPr>
      </w:pPr>
    </w:p>
    <w:p w:rsidR="00377A3A" w:rsidRPr="00A01E2F" w:rsidRDefault="00377A3A" w:rsidP="00377A3A">
      <w:pPr>
        <w:jc w:val="center"/>
        <w:rPr>
          <w:b/>
          <w:sz w:val="24"/>
          <w:szCs w:val="24"/>
        </w:rPr>
      </w:pPr>
      <w:r w:rsidRPr="00A01E2F">
        <w:rPr>
          <w:b/>
          <w:sz w:val="24"/>
          <w:szCs w:val="24"/>
        </w:rPr>
        <w:t>Pedagógusképzés</w:t>
      </w:r>
    </w:p>
    <w:p w:rsidR="00377A3A" w:rsidRPr="00F0615B" w:rsidRDefault="00377A3A" w:rsidP="00377A3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szCs w:val="21"/>
              </w:rPr>
            </w:pPr>
            <w:r w:rsidRPr="001810BD">
              <w:rPr>
                <w:sz w:val="21"/>
                <w:szCs w:val="21"/>
              </w:rPr>
              <w:lastRenderedPageBreak/>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igen</w:t>
            </w:r>
          </w:p>
        </w:tc>
      </w:tr>
    </w:tbl>
    <w:p w:rsidR="00377A3A" w:rsidRPr="00F0615B" w:rsidRDefault="00377A3A" w:rsidP="00377A3A"/>
    <w:p w:rsidR="00377A3A" w:rsidRPr="00A01E2F" w:rsidRDefault="00377A3A" w:rsidP="00377A3A">
      <w:pPr>
        <w:jc w:val="center"/>
        <w:rPr>
          <w:b/>
          <w:sz w:val="24"/>
          <w:szCs w:val="24"/>
        </w:rPr>
      </w:pPr>
      <w:r w:rsidRPr="00A01E2F">
        <w:rPr>
          <w:b/>
          <w:sz w:val="24"/>
          <w:szCs w:val="24"/>
        </w:rPr>
        <w:t>Sporttudomány képzési terület</w:t>
      </w:r>
    </w:p>
    <w:p w:rsidR="00377A3A" w:rsidRPr="00F0615B" w:rsidRDefault="00377A3A" w:rsidP="00377A3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szCs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igen</w:t>
            </w:r>
          </w:p>
        </w:tc>
      </w:tr>
    </w:tbl>
    <w:p w:rsidR="00377A3A" w:rsidRPr="00F0615B" w:rsidRDefault="00377A3A" w:rsidP="00377A3A"/>
    <w:p w:rsidR="00377A3A" w:rsidRDefault="00377A3A" w:rsidP="00377A3A">
      <w:pPr>
        <w:jc w:val="center"/>
        <w:rPr>
          <w:b/>
          <w:sz w:val="24"/>
          <w:szCs w:val="24"/>
        </w:rPr>
      </w:pPr>
    </w:p>
    <w:p w:rsidR="00377A3A" w:rsidRDefault="00377A3A" w:rsidP="00377A3A">
      <w:pPr>
        <w:jc w:val="center"/>
        <w:rPr>
          <w:b/>
          <w:sz w:val="24"/>
          <w:szCs w:val="24"/>
        </w:rPr>
      </w:pPr>
    </w:p>
    <w:p w:rsidR="00377A3A" w:rsidRPr="00A01E2F" w:rsidRDefault="00377A3A" w:rsidP="00377A3A">
      <w:pPr>
        <w:jc w:val="center"/>
        <w:rPr>
          <w:b/>
          <w:sz w:val="24"/>
          <w:szCs w:val="24"/>
        </w:rPr>
      </w:pPr>
      <w:r w:rsidRPr="00A01E2F">
        <w:rPr>
          <w:b/>
          <w:sz w:val="24"/>
          <w:szCs w:val="24"/>
        </w:rPr>
        <w:lastRenderedPageBreak/>
        <w:t>Társadalomtudományi képzési terület</w:t>
      </w:r>
    </w:p>
    <w:p w:rsidR="00377A3A" w:rsidRPr="00F0615B" w:rsidRDefault="00377A3A" w:rsidP="00377A3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szCs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nem</w:t>
            </w:r>
          </w:p>
        </w:tc>
      </w:tr>
    </w:tbl>
    <w:p w:rsidR="00377A3A" w:rsidRDefault="00377A3A" w:rsidP="00377A3A"/>
    <w:p w:rsidR="00377A3A" w:rsidRDefault="00377A3A" w:rsidP="00377A3A">
      <w:r>
        <w:br w:type="page"/>
      </w:r>
    </w:p>
    <w:p w:rsidR="00377A3A" w:rsidRPr="00A01E2F" w:rsidRDefault="00377A3A" w:rsidP="00377A3A">
      <w:pPr>
        <w:jc w:val="center"/>
        <w:rPr>
          <w:b/>
          <w:sz w:val="24"/>
          <w:szCs w:val="24"/>
        </w:rPr>
      </w:pPr>
      <w:r w:rsidRPr="00A01E2F">
        <w:rPr>
          <w:b/>
          <w:sz w:val="24"/>
          <w:szCs w:val="24"/>
        </w:rPr>
        <w:lastRenderedPageBreak/>
        <w:t>Természettudomány képzési terület</w:t>
      </w:r>
    </w:p>
    <w:p w:rsidR="00377A3A" w:rsidRPr="00F0615B" w:rsidRDefault="00377A3A" w:rsidP="00377A3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377A3A" w:rsidRPr="001810BD" w:rsidTr="00497036">
        <w:tc>
          <w:tcPr>
            <w:tcW w:w="7920" w:type="dxa"/>
          </w:tcPr>
          <w:p w:rsidR="00377A3A" w:rsidRPr="001810BD" w:rsidRDefault="00377A3A" w:rsidP="00497036">
            <w:pPr>
              <w:jc w:val="center"/>
              <w:rPr>
                <w:b/>
                <w:sz w:val="21"/>
              </w:rPr>
            </w:pPr>
            <w:r w:rsidRPr="001810BD">
              <w:rPr>
                <w:b/>
                <w:sz w:val="21"/>
              </w:rPr>
              <w:t>Az intézmények által adható többletpontok</w:t>
            </w:r>
          </w:p>
        </w:tc>
        <w:tc>
          <w:tcPr>
            <w:tcW w:w="1620" w:type="dxa"/>
          </w:tcPr>
          <w:p w:rsidR="00377A3A" w:rsidRPr="001810BD" w:rsidRDefault="00377A3A" w:rsidP="00497036">
            <w:pPr>
              <w:jc w:val="center"/>
              <w:rPr>
                <w:b/>
                <w:sz w:val="21"/>
              </w:rPr>
            </w:pPr>
            <w:r w:rsidRPr="001810BD">
              <w:rPr>
                <w:b/>
                <w:sz w:val="21"/>
              </w:rPr>
              <w:t>Igen/Nem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Sporteredmény jogcímen adható többletpont, a Kormány által rendeletben megállapított sportágakban és versenyeken elért helyezés alapján.</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rPr>
                <w:sz w:val="21"/>
              </w:rPr>
            </w:pPr>
            <w:r w:rsidRPr="001810BD">
              <w:rPr>
                <w:sz w:val="21"/>
              </w:rPr>
              <w:t>A művészeti szakképzésben tanuló szakközépiskolások részére szervezett, a minisztérium által meghirdetett és anyagilag támogatott Országos Művészeti Tanulmányi Versenyeken egyéni versenyzőként elért 1–3. helyezésért 20 többletpont.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rPr>
            </w:pPr>
            <w:r w:rsidRPr="001810BD">
              <w:rPr>
                <w:sz w:val="21"/>
              </w:rPr>
              <w:t>Az Országos Középiskolai Tanulmányi Versenyen és a Szakmacsoportos Szakmai Előkészítő Érettségi Tárgyak Versenyén elért 1–10. helyezésért 100 pont, 11–20. helyezésért 50 pont, 21–30. helyezésért 25 pont, tantárgyanként legfeljebb egy versenyeredményért,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Országos Középiskolai Tanulmányi Versenyen elért 1–10. helyezésért 20 pont, tantárgyanként legfeljebb egy versenyeredményért, amennyiben az nem érettségi pontot adó tárgy az adott szakon, azonban elfogadásáról az érintett intézmények előzetesen megegyeztek.*</w:t>
            </w:r>
          </w:p>
        </w:tc>
        <w:tc>
          <w:tcPr>
            <w:tcW w:w="1620" w:type="dxa"/>
          </w:tcPr>
          <w:p w:rsidR="00377A3A" w:rsidRPr="001810BD" w:rsidRDefault="00377A3A" w:rsidP="00497036">
            <w:pPr>
              <w:jc w:val="center"/>
              <w:rPr>
                <w:b/>
                <w:sz w:val="21"/>
              </w:rPr>
            </w:pPr>
            <w:r w:rsidRPr="001810BD">
              <w:rPr>
                <w:b/>
                <w:sz w:val="21"/>
              </w:rPr>
              <w:t>nem</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 Középiskolai Tudományos Diákkörök Országos Konferenciája versenyein elért helyezés alapján a nagydíjasoknak 30 pont, az első díjasoknak 20 pont, tantárgyanként legfeljebb egy vizsgaeredményért, amennyiben az érettségi pontot adó tárgy az adott szakon.</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rPr>
                <w:sz w:val="21"/>
                <w:szCs w:val="21"/>
              </w:rPr>
            </w:pPr>
            <w:r w:rsidRPr="001810BD">
              <w:rPr>
                <w:sz w:val="21"/>
                <w:szCs w:val="21"/>
              </w:rPr>
              <w:t>Az Ifjúsági Tudományos Innovációs Tehetségkutató Versenyen elért legalább 3. helyezésért 30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rPr>
            </w:pPr>
            <w:r w:rsidRPr="001810BD">
              <w:rPr>
                <w:sz w:val="21"/>
                <w:szCs w:val="21"/>
              </w:rPr>
              <w:t>Az 1993 után szerzett, az Országos Képzési Jegyzékben szereplő emelt szintű vagy felsőfokú szakképesítésért, a hatályos jogszabályok szerint szakiránynak megfelelő továbbtanulás esetén 24 pont.</w:t>
            </w:r>
          </w:p>
        </w:tc>
        <w:tc>
          <w:tcPr>
            <w:tcW w:w="1620" w:type="dxa"/>
          </w:tcPr>
          <w:p w:rsidR="00377A3A" w:rsidRPr="001810BD" w:rsidRDefault="00377A3A" w:rsidP="00497036">
            <w:pPr>
              <w:jc w:val="center"/>
              <w:rPr>
                <w:b/>
                <w:sz w:val="21"/>
              </w:rPr>
            </w:pPr>
            <w:r w:rsidRPr="001810BD">
              <w:rPr>
                <w:b/>
                <w:sz w:val="21"/>
              </w:rPr>
              <w:t>igen</w:t>
            </w:r>
          </w:p>
        </w:tc>
      </w:tr>
      <w:tr w:rsidR="00377A3A" w:rsidRPr="001810BD" w:rsidTr="00497036">
        <w:tc>
          <w:tcPr>
            <w:tcW w:w="7920" w:type="dxa"/>
          </w:tcPr>
          <w:p w:rsidR="00377A3A" w:rsidRPr="001810BD" w:rsidRDefault="00377A3A" w:rsidP="00497036">
            <w:pPr>
              <w:autoSpaceDE w:val="0"/>
              <w:autoSpaceDN w:val="0"/>
              <w:adjustRightInd w:val="0"/>
              <w:rPr>
                <w:sz w:val="21"/>
                <w:szCs w:val="21"/>
              </w:rPr>
            </w:pPr>
            <w:r w:rsidRPr="001810BD">
              <w:rPr>
                <w:sz w:val="21"/>
                <w:szCs w:val="21"/>
              </w:rPr>
              <w:t>A szakképzésről szóló törvény szerint a szakképesítésért felelős miniszter által szervezett országos szakmai tanulmányi versenyen elért helyezése alapján a szakmai vizsga egésze (minden része) alól felmentést kapott jelentkező esetében, a hatályos jogszabályok szerint szakiránynak megfelelő továbbtanulás esetén 30 többletpont</w:t>
            </w:r>
          </w:p>
        </w:tc>
        <w:tc>
          <w:tcPr>
            <w:tcW w:w="1620" w:type="dxa"/>
          </w:tcPr>
          <w:p w:rsidR="00377A3A" w:rsidRPr="001810BD" w:rsidRDefault="00377A3A" w:rsidP="00497036">
            <w:pPr>
              <w:jc w:val="center"/>
              <w:rPr>
                <w:b/>
                <w:sz w:val="21"/>
              </w:rPr>
            </w:pPr>
            <w:r w:rsidRPr="001810BD">
              <w:rPr>
                <w:b/>
                <w:sz w:val="21"/>
              </w:rPr>
              <w:t>igen</w:t>
            </w:r>
          </w:p>
        </w:tc>
      </w:tr>
    </w:tbl>
    <w:p w:rsidR="00377A3A" w:rsidRPr="00F0615B" w:rsidRDefault="00377A3A" w:rsidP="00377A3A"/>
    <w:p w:rsidR="006C477B" w:rsidRDefault="006C477B" w:rsidP="009A25E2">
      <w:bookmarkStart w:id="63" w:name="_GoBack"/>
      <w:bookmarkEnd w:id="63"/>
    </w:p>
    <w:sectPr w:rsidR="006C4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01" w:rsidRDefault="00590A01" w:rsidP="009A25E2">
      <w:pPr>
        <w:spacing w:after="0" w:line="240" w:lineRule="auto"/>
      </w:pPr>
      <w:r>
        <w:separator/>
      </w:r>
    </w:p>
  </w:endnote>
  <w:endnote w:type="continuationSeparator" w:id="0">
    <w:p w:rsidR="00590A01" w:rsidRDefault="00590A01" w:rsidP="009A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01" w:rsidRDefault="00590A01" w:rsidP="009A25E2">
      <w:pPr>
        <w:spacing w:after="0" w:line="240" w:lineRule="auto"/>
      </w:pPr>
      <w:r>
        <w:separator/>
      </w:r>
    </w:p>
  </w:footnote>
  <w:footnote w:type="continuationSeparator" w:id="0">
    <w:p w:rsidR="00590A01" w:rsidRDefault="00590A01" w:rsidP="009A25E2">
      <w:pPr>
        <w:spacing w:after="0" w:line="240" w:lineRule="auto"/>
      </w:pPr>
      <w:r>
        <w:continuationSeparator/>
      </w:r>
    </w:p>
  </w:footnote>
  <w:footnote w:id="1">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 12.) számú határozatával</w:t>
      </w:r>
    </w:p>
  </w:footnote>
  <w:footnote w:id="2">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
    <w:p w:rsidR="009A25E2" w:rsidRDefault="009A25E2" w:rsidP="009A25E2">
      <w:pPr>
        <w:pStyle w:val="Lbjegyzetszveg"/>
      </w:pPr>
      <w:r>
        <w:rPr>
          <w:rStyle w:val="Lbjegyzet-hivatkozs"/>
        </w:rPr>
        <w:footnoteRef/>
      </w:r>
      <w:proofErr w:type="gramStart"/>
      <w:r>
        <w:t>módosította</w:t>
      </w:r>
      <w:proofErr w:type="gramEnd"/>
      <w:r>
        <w:t>: a Szenátus 88/2016. (XII.14.) számú határozatával</w:t>
      </w:r>
    </w:p>
    <w:p w:rsidR="009A25E2" w:rsidRDefault="009A25E2" w:rsidP="009A25E2">
      <w:pPr>
        <w:pStyle w:val="Lbjegyzetszveg"/>
      </w:pPr>
    </w:p>
  </w:footnote>
  <w:footnote w:id="4">
    <w:p w:rsidR="009A25E2" w:rsidRPr="00B44D2D"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5">
    <w:p w:rsidR="009A25E2" w:rsidRPr="00B44D2D"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a Szenátus 88/2016. (XII.14.) számú határozatával</w:t>
      </w:r>
    </w:p>
    <w:p w:rsidR="009A25E2" w:rsidRPr="00B44D2D" w:rsidRDefault="009A25E2" w:rsidP="009A25E2">
      <w:pPr>
        <w:pStyle w:val="Lbjegyzetszveg"/>
      </w:pPr>
    </w:p>
  </w:footnote>
  <w:footnote w:id="6">
    <w:p w:rsidR="009A25E2"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7">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8">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9">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0">
    <w:p w:rsidR="009A25E2"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11">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2">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és a 37/2017. (IV.12.) számú határozatával</w:t>
      </w:r>
    </w:p>
  </w:footnote>
  <w:footnote w:id="13">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4">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5">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6">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17">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18">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19">
    <w:p w:rsidR="009A25E2" w:rsidRPr="00B44D2D"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20">
    <w:p w:rsidR="009A25E2" w:rsidRPr="00B44D2D"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21">
    <w:p w:rsidR="009A25E2" w:rsidRDefault="009A25E2" w:rsidP="009A25E2">
      <w:pPr>
        <w:pStyle w:val="Lbjegyzetszveg"/>
      </w:pPr>
      <w:r w:rsidRPr="00B44D2D">
        <w:rPr>
          <w:rStyle w:val="Lbjegyzet-hivatkozs"/>
        </w:rPr>
        <w:footnoteRef/>
      </w:r>
      <w:r w:rsidRPr="00B44D2D">
        <w:t xml:space="preserve"> </w:t>
      </w:r>
      <w:proofErr w:type="gramStart"/>
      <w:r w:rsidRPr="00B44D2D">
        <w:t>beiktatta</w:t>
      </w:r>
      <w:proofErr w:type="gramEnd"/>
      <w:r w:rsidRPr="00B44D2D">
        <w:t xml:space="preserve"> a Szenátus a 176/2017. (VI. 26.) számú határozatával</w:t>
      </w:r>
    </w:p>
  </w:footnote>
  <w:footnote w:id="22">
    <w:p w:rsidR="009A25E2" w:rsidRPr="00B44D2D" w:rsidRDefault="009A25E2" w:rsidP="009A25E2">
      <w:pPr>
        <w:pStyle w:val="Lbjegyzetszveg"/>
      </w:pPr>
      <w:r w:rsidRPr="00B44D2D">
        <w:rPr>
          <w:rStyle w:val="Lbjegyzet-hivatkozs"/>
        </w:rPr>
        <w:footnoteRef/>
      </w:r>
      <w:r w:rsidRPr="00B44D2D">
        <w:t xml:space="preserve"> </w:t>
      </w:r>
      <w:proofErr w:type="gramStart"/>
      <w:r w:rsidRPr="00B44D2D">
        <w:t>beiktatta</w:t>
      </w:r>
      <w:proofErr w:type="gramEnd"/>
      <w:r w:rsidRPr="00B44D2D">
        <w:t xml:space="preserve"> a Szenátus a 176/2017. (VI. 26.) számú határozatával</w:t>
      </w:r>
    </w:p>
  </w:footnote>
  <w:footnote w:id="23">
    <w:p w:rsidR="009A25E2" w:rsidRDefault="009A25E2" w:rsidP="009A25E2">
      <w:pPr>
        <w:pStyle w:val="Lbjegyzetszveg"/>
      </w:pPr>
      <w:r w:rsidRPr="00B44D2D">
        <w:rPr>
          <w:rStyle w:val="Lbjegyzet-hivatkozs"/>
        </w:rPr>
        <w:footnoteRef/>
      </w:r>
      <w:r w:rsidRPr="00B44D2D">
        <w:t xml:space="preserve"> </w:t>
      </w:r>
      <w:proofErr w:type="gramStart"/>
      <w:r w:rsidRPr="00B44D2D">
        <w:t>beiktatta</w:t>
      </w:r>
      <w:proofErr w:type="gramEnd"/>
      <w:r w:rsidRPr="00B44D2D">
        <w:t xml:space="preserve"> a Szenátus a 176/2017. (VI. 26.) számú határozatával</w:t>
      </w:r>
    </w:p>
  </w:footnote>
  <w:footnote w:id="24">
    <w:p w:rsidR="009A25E2" w:rsidRDefault="009A25E2" w:rsidP="009A25E2">
      <w:pPr>
        <w:pStyle w:val="Lbjegyzetszveg"/>
      </w:pPr>
      <w:r w:rsidRPr="00B44D2D">
        <w:rPr>
          <w:rStyle w:val="Lbjegyzet-hivatkozs"/>
        </w:rPr>
        <w:footnoteRef/>
      </w:r>
      <w:r w:rsidRPr="00B44D2D">
        <w:t xml:space="preserve"> </w:t>
      </w:r>
      <w:proofErr w:type="gramStart"/>
      <w:r w:rsidRPr="00B44D2D">
        <w:t>beiktatta</w:t>
      </w:r>
      <w:proofErr w:type="gramEnd"/>
      <w:r w:rsidRPr="00B44D2D">
        <w:t xml:space="preserve"> a Szenátus a 176/2017. (VI. 26.) számú határozatával</w:t>
      </w:r>
    </w:p>
  </w:footnote>
  <w:footnote w:id="25">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26">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27">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28">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29">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30">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31">
    <w:p w:rsidR="009A25E2"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32">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3">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34">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5">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36">
    <w:p w:rsidR="009A25E2" w:rsidRDefault="009A25E2" w:rsidP="009A25E2">
      <w:pPr>
        <w:pStyle w:val="Lbjegyzetszveg"/>
      </w:pPr>
      <w:r>
        <w:rPr>
          <w:rStyle w:val="Lbjegyzet-hivatkozs"/>
        </w:rPr>
        <w:footnoteRef/>
      </w:r>
      <w:r>
        <w:t xml:space="preserve"> </w:t>
      </w:r>
      <w:proofErr w:type="gramStart"/>
      <w:r>
        <w:t>beiktatta</w:t>
      </w:r>
      <w:proofErr w:type="gramEnd"/>
      <w:r>
        <w:t xml:space="preserve"> a Szenátus a 37/2017. (IV.12.) számú határozatával</w:t>
      </w:r>
    </w:p>
  </w:footnote>
  <w:footnote w:id="37">
    <w:p w:rsidR="009A25E2"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38">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39">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40">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41">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42">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p w:rsidR="009A25E2" w:rsidRDefault="009A25E2" w:rsidP="009A25E2">
      <w:pPr>
        <w:pStyle w:val="Lbjegyzetszveg"/>
      </w:pPr>
    </w:p>
  </w:footnote>
  <w:footnote w:id="43">
    <w:p w:rsidR="009A25E2"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44">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45">
    <w:p w:rsidR="009A25E2" w:rsidRDefault="009A25E2" w:rsidP="009A25E2">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46">
    <w:p w:rsidR="009A25E2" w:rsidRPr="00B44D2D"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47">
    <w:p w:rsidR="009A25E2" w:rsidRPr="00B44D2D"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37/2017. (IV.12.) számú határozatával</w:t>
      </w:r>
    </w:p>
  </w:footnote>
  <w:footnote w:id="48">
    <w:p w:rsidR="009A25E2" w:rsidRDefault="009A25E2" w:rsidP="009A25E2">
      <w:pPr>
        <w:pStyle w:val="Lbjegyzetszveg"/>
      </w:pPr>
      <w:r w:rsidRPr="00B44D2D">
        <w:rPr>
          <w:rStyle w:val="Lbjegyzet-hivatkozs"/>
        </w:rPr>
        <w:footnoteRef/>
      </w:r>
      <w:r w:rsidRPr="00B44D2D">
        <w:t xml:space="preserve"> </w:t>
      </w:r>
      <w:proofErr w:type="gramStart"/>
      <w:r w:rsidRPr="00B44D2D">
        <w:t>módosította</w:t>
      </w:r>
      <w:proofErr w:type="gramEnd"/>
      <w:r w:rsidRPr="00B44D2D">
        <w:t xml:space="preserve"> a Szenátus a 176/2017. (VI. 26.) számú határozatával</w:t>
      </w:r>
    </w:p>
  </w:footnote>
  <w:footnote w:id="49">
    <w:p w:rsidR="009A25E2" w:rsidRDefault="009A25E2" w:rsidP="009A25E2">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5E36"/>
    <w:multiLevelType w:val="multilevel"/>
    <w:tmpl w:val="51080A54"/>
    <w:lvl w:ilvl="0">
      <w:start w:val="1"/>
      <w:numFmt w:val="bullet"/>
      <w:pStyle w:val="Gondolatjeles"/>
      <w:lvlText w:val="−"/>
      <w:lvlJc w:val="left"/>
      <w:pPr>
        <w:tabs>
          <w:tab w:val="num" w:pos="709"/>
        </w:tabs>
        <w:ind w:left="709" w:hanging="284"/>
      </w:pPr>
      <w:rPr>
        <w:rFonts w:ascii="Times New Roman" w:hAnsi="Times New Roman" w:hint="default"/>
      </w:rPr>
    </w:lvl>
    <w:lvl w:ilvl="1">
      <w:start w:val="1"/>
      <w:numFmt w:val="bullet"/>
      <w:lvlText w:val="–"/>
      <w:lvlJc w:val="left"/>
      <w:pPr>
        <w:tabs>
          <w:tab w:val="num" w:pos="1279"/>
        </w:tabs>
        <w:ind w:left="1276" w:hanging="567"/>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6E6B432A"/>
    <w:multiLevelType w:val="multilevel"/>
    <w:tmpl w:val="95BCD514"/>
    <w:lvl w:ilvl="0">
      <w:start w:val="1"/>
      <w:numFmt w:val="decimal"/>
      <w:pStyle w:val="paragrafus1"/>
      <w:suff w:val="nothing"/>
      <w:lvlText w:val="%1.§ "/>
      <w:lvlJc w:val="left"/>
      <w:pPr>
        <w:ind w:left="8222" w:firstLine="284"/>
      </w:pPr>
      <w:rPr>
        <w:rFonts w:cs="Times New Roman" w:hint="default"/>
      </w:rPr>
    </w:lvl>
    <w:lvl w:ilvl="1">
      <w:start w:val="1"/>
      <w:numFmt w:val="decimal"/>
      <w:pStyle w:val="paragrafus2"/>
      <w:lvlText w:val="(%2)"/>
      <w:lvlJc w:val="left"/>
      <w:pPr>
        <w:tabs>
          <w:tab w:val="num" w:pos="709"/>
        </w:tabs>
        <w:ind w:left="709" w:hanging="425"/>
      </w:pPr>
      <w:rPr>
        <w:rFonts w:cs="Times New Roman" w:hint="default"/>
        <w:b w:val="0"/>
        <w:i w:val="0"/>
      </w:rPr>
    </w:lvl>
    <w:lvl w:ilvl="2">
      <w:start w:val="1"/>
      <w:numFmt w:val="lowerLetter"/>
      <w:pStyle w:val="paragrafus3"/>
      <w:lvlText w:val="%3)"/>
      <w:lvlJc w:val="left"/>
      <w:pPr>
        <w:tabs>
          <w:tab w:val="num" w:pos="994"/>
        </w:tabs>
        <w:ind w:left="994" w:hanging="426"/>
      </w:pPr>
      <w:rPr>
        <w:rFonts w:ascii="Times New Roman" w:eastAsia="Times New Roman" w:hAnsi="Times New Roman" w:cs="Times New Roman"/>
      </w:rPr>
    </w:lvl>
    <w:lvl w:ilvl="3">
      <w:start w:val="1"/>
      <w:numFmt w:val="lowerLetter"/>
      <w:lvlText w:val="%3%4)"/>
      <w:lvlJc w:val="left"/>
      <w:pPr>
        <w:tabs>
          <w:tab w:val="num" w:pos="1134"/>
        </w:tabs>
        <w:ind w:left="1134" w:hanging="425"/>
      </w:pPr>
      <w:rPr>
        <w:rFonts w:cs="Times New Roman"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num>
  <w:num w:numId="5">
    <w:abstractNumId w:val="1"/>
    <w:lvlOverride w:ilvl="0">
      <w:startOverride w:val="1"/>
    </w:lvlOverride>
    <w:lvlOverride w:ilvl="1">
      <w:startOverride w:val="1"/>
    </w:lvlOverride>
  </w:num>
  <w:num w:numId="6">
    <w:abstractNumId w:val="1"/>
    <w:lvlOverride w:ilvl="0">
      <w:startOverride w:val="1"/>
    </w:lvlOverride>
    <w:lvlOverride w:ilvl="1">
      <w:startOverride w:val="1"/>
    </w:lvlOverride>
  </w:num>
  <w:num w:numId="7">
    <w:abstractNumId w:val="1"/>
    <w:lvlOverride w:ilvl="0">
      <w:startOverride w:val="1"/>
    </w:lvlOverride>
    <w:lvlOverride w:ilvl="1">
      <w:startOverride w:val="1"/>
    </w:lvlOverride>
  </w:num>
  <w:num w:numId="8">
    <w:abstractNumId w:val="1"/>
    <w:lvlOverride w:ilvl="0">
      <w:startOverride w:val="1"/>
    </w:lvlOverride>
    <w:lvlOverride w:ilvl="1">
      <w:startOverride w:val="1"/>
    </w:lvlOverride>
  </w:num>
  <w:num w:numId="9">
    <w:abstractNumId w:val="1"/>
    <w:lvlOverride w:ilvl="0">
      <w:startOverride w:val="1"/>
    </w:lvlOverride>
    <w:lvlOverride w:ilvl="1">
      <w:startOverride w:val="1"/>
    </w:lvlOverride>
  </w:num>
  <w:num w:numId="10">
    <w:abstractNumId w:val="1"/>
    <w:lvlOverride w:ilvl="0">
      <w:startOverride w:val="1"/>
    </w:lvlOverride>
    <w:lvlOverride w:ilvl="1">
      <w:startOverride w:val="1"/>
    </w:lvlOverride>
  </w:num>
  <w:num w:numId="11">
    <w:abstractNumId w:val="1"/>
    <w:lvlOverride w:ilvl="0">
      <w:startOverride w:val="1"/>
    </w:lvlOverride>
    <w:lvlOverride w:ilvl="1">
      <w:startOverride w:val="1"/>
    </w:lvlOverride>
  </w:num>
  <w:num w:numId="12">
    <w:abstractNumId w:val="1"/>
    <w:lvlOverride w:ilvl="0">
      <w:startOverride w:val="1"/>
    </w:lvlOverride>
    <w:lvlOverride w:ilvl="1">
      <w:startOverride w:val="1"/>
    </w:lvlOverride>
  </w:num>
  <w:num w:numId="13">
    <w:abstractNumId w:val="1"/>
    <w:lvlOverride w:ilvl="0">
      <w:startOverride w:val="1"/>
    </w:lvlOverride>
    <w:lvlOverride w:ilvl="1">
      <w:startOverride w:val="1"/>
    </w:lvlOverride>
  </w:num>
  <w:num w:numId="14">
    <w:abstractNumId w:val="1"/>
    <w:lvlOverride w:ilvl="0">
      <w:startOverride w:val="1"/>
    </w:lvlOverride>
    <w:lvlOverride w:ilvl="1">
      <w:startOverride w:val="1"/>
    </w:lvlOverride>
  </w:num>
  <w:num w:numId="15">
    <w:abstractNumId w:val="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E2"/>
    <w:rsid w:val="00377A3A"/>
    <w:rsid w:val="004A5919"/>
    <w:rsid w:val="00590A01"/>
    <w:rsid w:val="006C477B"/>
    <w:rsid w:val="009A25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0030EFE-6E08-4433-B11D-3E99E213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25E2"/>
    <w:pPr>
      <w:spacing w:after="200" w:line="276" w:lineRule="auto"/>
    </w:pPr>
    <w:rPr>
      <w:rFonts w:ascii="Calibri" w:eastAsia="Calibri" w:hAnsi="Calibri" w:cs="Times New Roman"/>
    </w:rPr>
  </w:style>
  <w:style w:type="paragraph" w:styleId="Cmsor2">
    <w:name w:val="heading 2"/>
    <w:basedOn w:val="Norml"/>
    <w:next w:val="paragrafus1"/>
    <w:link w:val="Cmsor2Char"/>
    <w:autoRedefine/>
    <w:qFormat/>
    <w:rsid w:val="009A25E2"/>
    <w:pPr>
      <w:keepNext/>
      <w:suppressAutoHyphens/>
      <w:spacing w:before="360" w:after="0" w:line="240" w:lineRule="auto"/>
      <w:jc w:val="center"/>
      <w:outlineLvl w:val="1"/>
    </w:pPr>
    <w:rPr>
      <w:rFonts w:ascii="Times New Roman" w:eastAsia="Times New Roman" w:hAnsi="Times New Roman"/>
      <w:b/>
      <w:bCs/>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A25E2"/>
    <w:rPr>
      <w:rFonts w:ascii="Times New Roman" w:eastAsia="Times New Roman" w:hAnsi="Times New Roman" w:cs="Times New Roman"/>
      <w:b/>
      <w:bCs/>
      <w:iCs/>
      <w:sz w:val="28"/>
      <w:szCs w:val="28"/>
      <w:lang w:eastAsia="hu-HU"/>
    </w:rPr>
  </w:style>
  <w:style w:type="paragraph" w:customStyle="1" w:styleId="paragrafus1">
    <w:name w:val="paragrafus1"/>
    <w:basedOn w:val="Norml"/>
    <w:next w:val="paragrafus2"/>
    <w:link w:val="paragrafus1Char"/>
    <w:rsid w:val="009A25E2"/>
    <w:pPr>
      <w:keepNext/>
      <w:widowControl w:val="0"/>
      <w:numPr>
        <w:numId w:val="1"/>
      </w:numPr>
      <w:spacing w:before="120" w:after="120" w:line="240" w:lineRule="auto"/>
      <w:jc w:val="center"/>
      <w:outlineLvl w:val="0"/>
    </w:pPr>
    <w:rPr>
      <w:rFonts w:ascii="Times New Roman" w:eastAsia="Times New Roman" w:hAnsi="Times New Roman"/>
      <w:b/>
      <w:sz w:val="24"/>
      <w:szCs w:val="24"/>
      <w:lang w:eastAsia="hu-HU"/>
    </w:rPr>
  </w:style>
  <w:style w:type="paragraph" w:customStyle="1" w:styleId="paragrafus2">
    <w:name w:val="paragrafus2"/>
    <w:basedOn w:val="paragrafus1"/>
    <w:next w:val="paragrafus3"/>
    <w:link w:val="paragrafus2Char"/>
    <w:autoRedefine/>
    <w:qFormat/>
    <w:rsid w:val="009A25E2"/>
    <w:pPr>
      <w:keepNext w:val="0"/>
      <w:widowControl/>
      <w:numPr>
        <w:ilvl w:val="1"/>
      </w:numPr>
      <w:jc w:val="both"/>
      <w:outlineLvl w:val="1"/>
    </w:pPr>
    <w:rPr>
      <w:b w:val="0"/>
    </w:rPr>
  </w:style>
  <w:style w:type="paragraph" w:customStyle="1" w:styleId="paragrafus3">
    <w:name w:val="paragrafus3"/>
    <w:basedOn w:val="paragrafus2"/>
    <w:rsid w:val="009A25E2"/>
    <w:pPr>
      <w:numPr>
        <w:ilvl w:val="2"/>
      </w:numPr>
      <w:tabs>
        <w:tab w:val="left" w:pos="709"/>
      </w:tabs>
      <w:spacing w:before="0" w:after="0"/>
      <w:outlineLvl w:val="2"/>
    </w:pPr>
  </w:style>
  <w:style w:type="character" w:customStyle="1" w:styleId="paragrafus2Char">
    <w:name w:val="paragrafus2 Char"/>
    <w:link w:val="paragrafus2"/>
    <w:locked/>
    <w:rsid w:val="009A25E2"/>
    <w:rPr>
      <w:rFonts w:ascii="Times New Roman" w:eastAsia="Times New Roman" w:hAnsi="Times New Roman" w:cs="Times New Roman"/>
      <w:sz w:val="24"/>
      <w:szCs w:val="24"/>
      <w:lang w:eastAsia="hu-HU"/>
    </w:rPr>
  </w:style>
  <w:style w:type="character" w:customStyle="1" w:styleId="paragrafus1Char">
    <w:name w:val="paragrafus1 Char"/>
    <w:link w:val="paragrafus1"/>
    <w:locked/>
    <w:rsid w:val="009A25E2"/>
    <w:rPr>
      <w:rFonts w:ascii="Times New Roman" w:eastAsia="Times New Roman" w:hAnsi="Times New Roman" w:cs="Times New Roman"/>
      <w:b/>
      <w:sz w:val="24"/>
      <w:szCs w:val="24"/>
      <w:lang w:eastAsia="hu-HU"/>
    </w:rPr>
  </w:style>
  <w:style w:type="paragraph" w:styleId="Nincstrkz">
    <w:name w:val="No Spacing"/>
    <w:uiPriority w:val="1"/>
    <w:qFormat/>
    <w:rsid w:val="009A25E2"/>
    <w:pPr>
      <w:spacing w:after="0" w:line="240" w:lineRule="auto"/>
    </w:pPr>
    <w:rPr>
      <w:rFonts w:ascii="Calibri" w:eastAsia="Calibri" w:hAnsi="Calibri" w:cs="Times New Roman"/>
    </w:rPr>
  </w:style>
  <w:style w:type="paragraph" w:customStyle="1" w:styleId="Gondolatjeles">
    <w:name w:val="Gondolatjeles"/>
    <w:basedOn w:val="Norml"/>
    <w:rsid w:val="009A25E2"/>
    <w:pPr>
      <w:numPr>
        <w:numId w:val="2"/>
      </w:numPr>
      <w:spacing w:after="0" w:line="240" w:lineRule="auto"/>
      <w:jc w:val="both"/>
    </w:pPr>
    <w:rPr>
      <w:rFonts w:ascii="Times New Roman" w:eastAsia="Times New Roman" w:hAnsi="Times New Roman"/>
      <w:sz w:val="24"/>
      <w:szCs w:val="24"/>
      <w:lang w:eastAsia="hu-HU"/>
    </w:rPr>
  </w:style>
  <w:style w:type="character" w:customStyle="1" w:styleId="LbjegyzetszvegChar">
    <w:name w:val="Lábjegyzetszöveg Char"/>
    <w:link w:val="Lbjegyzetszveg"/>
    <w:semiHidden/>
    <w:rsid w:val="009A25E2"/>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rsid w:val="009A25E2"/>
    <w:pPr>
      <w:spacing w:after="0" w:line="240" w:lineRule="auto"/>
      <w:jc w:val="both"/>
    </w:pPr>
    <w:rPr>
      <w:rFonts w:ascii="Times New Roman" w:eastAsia="Times New Roman" w:hAnsi="Times New Roman"/>
      <w:sz w:val="20"/>
      <w:szCs w:val="20"/>
      <w:lang w:eastAsia="hu-HU"/>
    </w:rPr>
  </w:style>
  <w:style w:type="character" w:customStyle="1" w:styleId="LbjegyzetszvegChar1">
    <w:name w:val="Lábjegyzetszöveg Char1"/>
    <w:basedOn w:val="Bekezdsalapbettpusa"/>
    <w:uiPriority w:val="99"/>
    <w:semiHidden/>
    <w:rsid w:val="009A25E2"/>
    <w:rPr>
      <w:rFonts w:ascii="Calibri" w:eastAsia="Calibri" w:hAnsi="Calibri" w:cs="Times New Roman"/>
      <w:sz w:val="20"/>
      <w:szCs w:val="20"/>
    </w:rPr>
  </w:style>
  <w:style w:type="character" w:styleId="Lbjegyzet-hivatkozs">
    <w:name w:val="footnote reference"/>
    <w:semiHidden/>
    <w:rsid w:val="009A25E2"/>
    <w:rPr>
      <w:rFonts w:cs="Times New Roman"/>
      <w:vertAlign w:val="superscript"/>
    </w:rPr>
  </w:style>
  <w:style w:type="paragraph" w:customStyle="1" w:styleId="zskf4szabalyzatparagrafuscim">
    <w:name w:val="zskf4 szabalyzat paragrafuscim"/>
    <w:basedOn w:val="Norml"/>
    <w:qFormat/>
    <w:rsid w:val="009A25E2"/>
    <w:pPr>
      <w:widowControl w:val="0"/>
      <w:suppressAutoHyphens/>
      <w:spacing w:before="240" w:after="120" w:line="240" w:lineRule="auto"/>
      <w:jc w:val="center"/>
    </w:pPr>
    <w:rPr>
      <w:rFonts w:ascii="Garamond" w:eastAsia="SimSun" w:hAnsi="Garamond" w:cs="Mangal"/>
      <w:b/>
      <w:color w:val="00000A"/>
      <w:sz w:val="24"/>
      <w:szCs w:val="24"/>
      <w:lang w:eastAsia="zh-CN" w:bidi="hi-IN"/>
    </w:rPr>
  </w:style>
  <w:style w:type="paragraph" w:customStyle="1" w:styleId="zskf5szablyzatparagrafus">
    <w:name w:val="zskf5 szabályzat paragrafus"/>
    <w:basedOn w:val="Norml"/>
    <w:qFormat/>
    <w:rsid w:val="009A25E2"/>
    <w:pPr>
      <w:widowControl w:val="0"/>
      <w:suppressAutoHyphens/>
      <w:spacing w:before="240" w:after="57" w:line="240" w:lineRule="auto"/>
      <w:jc w:val="center"/>
    </w:pPr>
    <w:rPr>
      <w:rFonts w:ascii="Garamond" w:eastAsia="SimSun" w:hAnsi="Garamond" w:cs="Mangal"/>
      <w:b/>
      <w:color w:val="00000A"/>
      <w:sz w:val="24"/>
      <w:szCs w:val="24"/>
      <w:lang w:eastAsia="zh-CN" w:bidi="hi-IN"/>
    </w:rPr>
  </w:style>
  <w:style w:type="paragraph" w:customStyle="1" w:styleId="zskf6szabalyzatbekezds">
    <w:name w:val="zskf6 szabalyzat bekezdés"/>
    <w:basedOn w:val="Norml"/>
    <w:qFormat/>
    <w:rsid w:val="009A25E2"/>
    <w:pPr>
      <w:widowControl w:val="0"/>
      <w:suppressAutoHyphens/>
      <w:spacing w:before="57" w:after="0" w:line="240" w:lineRule="auto"/>
      <w:ind w:left="454" w:hanging="454"/>
      <w:jc w:val="both"/>
    </w:pPr>
    <w:rPr>
      <w:rFonts w:ascii="Garamond" w:eastAsia="SimSun" w:hAnsi="Garamond" w:cs="Mangal"/>
      <w:color w:val="00000A"/>
      <w:sz w:val="24"/>
      <w:szCs w:val="24"/>
      <w:lang w:eastAsia="zh-CN" w:bidi="hi-IN"/>
    </w:rPr>
  </w:style>
  <w:style w:type="paragraph" w:customStyle="1" w:styleId="zskf7szablyzatpont">
    <w:name w:val="zskf7 szabályzat pont"/>
    <w:basedOn w:val="Norml"/>
    <w:qFormat/>
    <w:rsid w:val="009A25E2"/>
    <w:pPr>
      <w:widowControl w:val="0"/>
      <w:tabs>
        <w:tab w:val="left" w:pos="850"/>
      </w:tabs>
      <w:suppressAutoHyphens/>
      <w:spacing w:after="0" w:line="240" w:lineRule="auto"/>
      <w:ind w:left="737" w:hanging="283"/>
      <w:jc w:val="both"/>
    </w:pPr>
    <w:rPr>
      <w:rFonts w:ascii="Garamond" w:eastAsia="SimSun" w:hAnsi="Garamond"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8B26-2629-45F0-AC21-98BAD137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6930</Words>
  <Characters>47821</Characters>
  <Application>Microsoft Office Word</Application>
  <DocSecurity>0</DocSecurity>
  <Lines>398</Lines>
  <Paragraphs>109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Csilla</dc:creator>
  <cp:keywords/>
  <dc:description/>
  <cp:lastModifiedBy>Varga Csilla</cp:lastModifiedBy>
  <cp:revision>2</cp:revision>
  <dcterms:created xsi:type="dcterms:W3CDTF">2018-09-02T18:14:00Z</dcterms:created>
  <dcterms:modified xsi:type="dcterms:W3CDTF">2018-09-02T18:32:00Z</dcterms:modified>
</cp:coreProperties>
</file>